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val="0"/>
        </w:rPr>
        <w:t>UNIVERSIDAD NACIONAL AUTÓNOMA DE NICARAGUA, MANAGUA</w:t>
      </w:r>
    </w:p>
    <w:p>
      <w:pPr>
        <w:jc w:val="center"/>
      </w:pPr>
      <w:r>
        <w:rPr>
          <w:b w:val="0"/>
        </w:rPr>
        <w:t>Área de Conocimiento de Ciencias Básicas y Tecnología</w:t>
      </w:r>
    </w:p>
    <w:p>
      <w:pPr>
        <w:jc w:val="center"/>
      </w:pPr>
      <w:r>
        <w:rPr>
          <w:b w:val="0"/>
        </w:rPr>
        <w:t>Departamento de Computación · Ingeniería en Telemática</w:t>
      </w:r>
    </w:p>
    <w:p>
      <w:pPr>
        <w:jc w:val="center"/>
      </w:pPr>
      <w:r>
        <w:rPr>
          <w:b w:val="0"/>
        </w:rPr>
        <w:t>XLIV Jornada Universitaria de Desarrollo Científico (JUDC 2026)</w:t>
      </w:r>
    </w:p>
    <w:p>
      <w:r>
        <w:br/>
      </w:r>
    </w:p>
    <w:p>
      <w:pPr>
        <w:pStyle w:val="Title"/>
        <w:jc w:val="center"/>
      </w:pPr>
      <w:r>
        <w:t>Avances de investigación sobre una arquitectura experimental IAM basada en Samba Active Directory, RBAC y Ansible para entornos universitarios</w:t>
      </w:r>
    </w:p>
    <w:p>
      <w:pPr>
        <w:jc w:val="center"/>
      </w:pPr>
      <w:r>
        <w:rPr>
          <w:b w:val="0"/>
        </w:rPr>
        <w:t>INFORME DE INVESTIGACIÓN EN PROCESO</w:t>
      </w:r>
    </w:p>
    <w:p>
      <w:pPr>
        <w:jc w:val="center"/>
      </w:pPr>
      <w:r>
        <w:rPr>
          <w:b w:val="0"/>
        </w:rPr>
        <w:t>Autores: Stephany Daniela Soza Hernández; Marcos Enrique Murillo Guido; Eddy Manuel Solís Jarquín</w:t>
      </w:r>
    </w:p>
    <w:p>
      <w:pPr>
        <w:jc w:val="center"/>
      </w:pPr>
      <w:r>
        <w:rPr>
          <w:b w:val="0"/>
        </w:rPr>
      </w:r>
      <w:r>
        <w:t>Tutor: MSc. Mario José Guido Otero · ORCID: https://orcid.org/0009-0006-6872-279X</w:t>
      </w:r>
    </w:p>
    <w:p>
      <w:pPr>
        <w:jc w:val="center"/>
      </w:pPr>
      <w:r/>
      <w:r>
        <w:t>ORCID de autores: Stephany Daniela Soza Hernández [PENDIENTE] · Marcos Enrique Murillo Guido [PENDIENTE] · Eddy Manuel Solís Jarquín [PENDIENTE]</w:t>
      </w:r>
    </w:p>
    <w:p>
      <w:pPr>
        <w:jc w:val="center"/>
      </w:pPr>
      <w:r>
        <w:rPr>
          <w:b w:val="0"/>
        </w:rPr>
      </w:r>
      <w:r>
        <w:t>Managua, 27 de octubre de 2026</w:t>
      </w:r>
    </w:p>
    <w:p>
      <w:pPr>
        <w:jc w:val="center"/>
      </w:pPr>
      <w:r>
        <w:t>Informe de investigación en proceso · JUDC 2026</w:t>
      </w:r>
    </w:p>
    <w:p>
      <w:r/>
    </w:p>
    <w:p>
      <w:pPr>
        <w:pStyle w:val="Heading1"/>
        <w:pageBreakBefore/>
      </w:pPr>
      <w:r>
        <w:t>Índice</w:t>
      </w:r>
    </w:p>
    <w:p>
      <w:pPr/>
      <w:r>
        <w:rPr>
          <w:sz w:val="20"/>
        </w:rPr>
        <w:t>Resumen  ........................................  3</w:t>
      </w:r>
    </w:p>
    <w:p>
      <w:pPr/>
      <w:r>
        <w:rPr>
          <w:sz w:val="20"/>
        </w:rPr>
        <w:t>1. Introducción  ........................................  4</w:t>
      </w:r>
    </w:p>
    <w:p>
      <w:pPr/>
      <w:r>
        <w:rPr>
          <w:sz w:val="20"/>
        </w:rPr>
        <w:t>2. Antecedentes del problema de investigación  ........................................  4</w:t>
      </w:r>
    </w:p>
    <w:p>
      <w:pPr/>
      <w:r>
        <w:rPr>
          <w:sz w:val="20"/>
        </w:rPr>
        <w:t>3. Objetivos de investigación  ........................................  5</w:t>
      </w:r>
    </w:p>
    <w:p>
      <w:pPr/>
      <w:r>
        <w:rPr>
          <w:sz w:val="20"/>
        </w:rPr>
        <w:t>4. Marco teórico y referencial  ........................................  6</w:t>
      </w:r>
    </w:p>
    <w:p>
      <w:pPr/>
      <w:r>
        <w:rPr>
          <w:sz w:val="20"/>
        </w:rPr>
        <w:t>5. Hipótesis de investigación  ........................................  7</w:t>
      </w:r>
    </w:p>
    <w:p>
      <w:pPr/>
      <w:r>
        <w:rPr>
          <w:sz w:val="20"/>
        </w:rPr>
        <w:t>6. Variables y operacionalización  ........................................  8</w:t>
      </w:r>
    </w:p>
    <w:p>
      <w:pPr/>
      <w:r>
        <w:rPr>
          <w:sz w:val="20"/>
        </w:rPr>
        <w:t>7. Diseño metodológico  ........................................  9</w:t>
      </w:r>
    </w:p>
    <w:p>
      <w:pPr/>
      <w:r>
        <w:rPr>
          <w:sz w:val="20"/>
        </w:rPr>
        <w:t>8. Análisis y discusión de los avances  ........................................  12</w:t>
      </w:r>
    </w:p>
    <w:p>
      <w:pPr/>
      <w:r>
        <w:rPr>
          <w:sz w:val="20"/>
        </w:rPr>
        <w:t>9. Conclusiones parciales  ........................................  14</w:t>
      </w:r>
    </w:p>
    <w:p>
      <w:pPr/>
      <w:r>
        <w:rPr>
          <w:sz w:val="20"/>
        </w:rPr>
        <w:t>10. Recomendaciones  ........................................  15</w:t>
      </w:r>
    </w:p>
    <w:p>
      <w:pPr/>
      <w:r>
        <w:rPr>
          <w:sz w:val="20"/>
        </w:rPr>
        <w:t>11. Referencias  ........................................  15</w:t>
      </w:r>
    </w:p>
    <w:p>
      <w:pPr/>
      <w:r>
        <w:rPr>
          <w:sz w:val="20"/>
        </w:rPr>
        <w:t>12. Anexos  ........................................  16</w:t>
      </w:r>
    </w:p>
    <w:p>
      <w:pPr>
        <w:pStyle w:val="Heading1"/>
        <w:pageBreakBefore/>
      </w:pPr>
      <w:r>
        <w:t>Resumen</w:t>
      </w:r>
    </w:p>
    <w:p>
      <w:r>
        <w:rPr>
          <w:b w:val="0"/>
        </w:rPr>
        <w:t>La investigación examina el diseño y la evaluación prevista de una arquitectura experimental de gestión de identidades y accesos (IAM) para un entorno universitario simulado. El problema abordado es la administración dispersa de identidades, credenciales y privilegios en infraestructuras tecnológicas heterogéneas, situación que dificulta aplicar controles homogéneos y mantener registros auditables. El objetivo general es evaluar una arquitectura basada en Samba Active Directory, control de acceso basado en roles (RBAC) y automatización declarativa mediante Ansible, considerando centralización, administración de accesos y trazabilidad. El estudio adopta un enfoque cuantitativo con diseño evaluativo en laboratorio controlado. El escenario documental contempla una población sintética prevista de 2,000 identidades, ocho roles, veinticuatro grupos, cuarenta permisos, diez recursos tecnológicos y veinte políticas. Para la validación funcional se plantea una selección intencional de cuarenta identidades, complementada por tres cuentas para operaciones administrativas. Como avances de investigación se dispone de la formulación del problema, antecedentes, objetivos, fundamentación conceptual, criterios de operacionalización, diseño del entorno, inventario de objetos del directorio, matriz de reglas RBAC y protocolos para realizar pruebas de autenticación, autorización, administración, automatización y auditoría. La matriz propone resultados permitidos y denegados cuya ejecución permanece pendiente de validación empírica. Asimismo, se han definido comparaciones de tiempos manuales y automatizados y pruebas de idempotencia, pero aún no se cuenta con evidencia suficiente para comunicar porcentajes de cumplimiento o mejoras de rendimiento. Se concluye provisionalmente que la investigación ha establecido un marco de verificación estructurado para someter la arquitectura a evaluación reproducible. La siguiente etapa consiste en completar el despliegue, ejecutar los procedimientos, conservar registros verificables y contrastar resultados observados con los criterios definidos, sin extrapolar los hallazgos a una red universitaria de producción.</w:t>
      </w:r>
    </w:p>
    <w:p>
      <w:r>
        <w:rPr>
          <w:b w:val="0"/>
        </w:rPr>
        <w:t>Palabras clave: gestión de identidades y accesos; Samba Active Directory; RBAC; Ansible; trazabilidad; laboratorio experimental.</w:t>
      </w:r>
    </w:p>
    <w:p>
      <w:pPr>
        <w:pStyle w:val="Heading1"/>
      </w:pPr>
      <w:r>
        <w:t>1. Introducción</w:t>
      </w:r>
    </w:p>
    <w:p>
      <w:r>
        <w:rPr>
          <w:b w:val="0"/>
        </w:rPr>
        <w:t>Las instituciones universitarias administran identidades asociadas a perfiles diferenciados —estudiantes, docentes, personal de soporte y administradores— que requieren acceder a aplicaciones, sistemas y servicios de red. Cuando las cuentas y privilegios se configuran de manera independiente, se incrementa la complejidad administrativa y se dificulta comprobar qué usuario puede realizar una operación, sobre qué recurso y bajo cuál autorización.</w:t>
      </w:r>
    </w:p>
    <w:p>
      <w:r>
        <w:rPr>
          <w:b w:val="0"/>
        </w:rPr>
        <w:t>El estudio se centra en una arquitectura IAM experimental que combina un directorio centralizado con Samba Active Directory, una representación explícita de roles y permisos mediante RBAC y operaciones declarativas mediante Ansible. La investigación no consiste en instalar la solución sobre una red institucional real: utiliza un escenario referencial, aislado y controlado que permite documentar pruebas repetibles sin involucrar credenciales ni expedientes académicos de producción.</w:t>
      </w:r>
    </w:p>
    <w:p>
      <w:r>
        <w:rPr>
          <w:b w:val="0"/>
        </w:rPr>
        <w:t>La pregunta que orienta el trabajo es: ¿Qué nivel de centralización, control de acceso y trazabilidad puede alcanzarse mediante una arquitectura experimental de gestión de identidades y accesos basada en Samba Active Directory, RBAC y automatización declarativa en un entorno universitario durante el segundo semestre de 2026?</w:t>
      </w:r>
    </w:p>
    <w:p>
      <w:r>
        <w:rPr>
          <w:b w:val="0"/>
        </w:rPr>
        <w:t>La pertinencia del proyecto radica en establecer un procedimiento verificable para estudiar la administración centralizada, la correcta autorización de operaciones, el comportamiento de la automatización y la disponibilidad de información de auditoría. Su contribución actual reside en la definición documentada del escenario, los criterios de control y el protocolo experimental, no aún en una demostración concluida de efectividad.</w:t>
      </w:r>
    </w:p>
    <w:p>
      <w:pPr>
        <w:pStyle w:val="Heading1"/>
      </w:pPr>
      <w:r>
        <w:t>2. Antecedentes del problema de investigación</w:t>
      </w:r>
    </w:p>
    <w:p>
      <w:r>
        <w:t>Eirea, Lausarot y Mundin (2016) desarrollaron el proyecto de grado Desarrollo de sistema de autenticación y autorización Identity and Access Manager (IAM), presentado en la Facultad de Ingeniería de la Universidad de la República, Uruguay. Su portada identifica a los tres autores, los tutores Ariel Sabiguero y Nicolás Guerra y la fecha de 4 de enero de 2016. La fuente primaria institucional fundamenta su pertinencia para estudiar gestión centralizada de identidades, autenticación y autorización. Las afirmaciones específicas sobre arquitectura y desempeño solo deben conservarse cuando puedan cotejarse en las secciones correspondientes del texto original.</w:t>
      </w:r>
    </w:p>
    <w:p>
      <w:r>
        <w:t>García Matus y Montano López (2012) elaboraron en la UNAN-Managua el trabajo Diseño de una red que permita acceder a los servicios telemáticos, aplicando arquitectura DMZ como seguridad, bajo plataforma Linux y virtualización, en Radio Fe–Nandaime. Se confirmó la existencia del texto íntegro alojado en el repositorio institucional, su autoría y su vinculación con servicios de red y virtualización. Es un antecedente contextual de infraestructura, no evidencia directa sobre IAM, RBAC o resultados con Ansible.</w:t>
      </w:r>
    </w:p>
    <w:p>
      <w:pPr>
        <w:pStyle w:val="Heading1"/>
      </w:pPr>
      <w:r>
        <w:t>3. Objetivos de investigación</w:t>
      </w:r>
    </w:p>
    <w:p>
      <w:pPr>
        <w:pStyle w:val="Heading2"/>
      </w:pPr>
      <w:r>
        <w:t>3.1 Objetivo general</w:t>
      </w:r>
    </w:p>
    <w:p>
      <w:r>
        <w:rPr>
          <w:b w:val="0"/>
        </w:rPr>
        <w:t>Evaluar una arquitectura experimental de gestión de identidades y accesos basada en Samba Active Directory, RBAC y automatización declarativa mediante criterios de centralización, administración de accesos y trazabilidad en un entorno universitario durante el segundo semestre de 2026.</w:t>
      </w:r>
    </w:p>
    <w:p>
      <w:pPr>
        <w:pStyle w:val="Heading2"/>
      </w:pPr>
      <w:r>
        <w:t>3.2 Objetivos específicos</w:t>
      </w:r>
    </w:p>
    <w:p>
      <w:r>
        <w:rPr>
          <w:b w:val="0"/>
        </w:rPr>
        <w:t>• Analizar los requerimientos técnico-funcionales de una arquitectura experimental de gestión de identidades y accesos para la centralización de identidades, administración de accesos, control de permisos y trazabilidad en un entorno universitario durante el segundo semestre de 2026.</w:t>
      </w:r>
    </w:p>
    <w:p>
      <w:r>
        <w:rPr>
          <w:b w:val="0"/>
        </w:rPr>
        <w:t>• Diseñar una arquitectura experimental de gestión de identidades y accesos basada en Samba Active Directory, RBAC y automatización declarativa, definiendo la estructura de identidades, grupos, roles, permisos y recursos tecnológicos.</w:t>
      </w:r>
    </w:p>
    <w:p>
      <w:r>
        <w:rPr>
          <w:b w:val="0"/>
        </w:rPr>
        <w:t>• Desarrollar un prototipo experimental de la arquitectura IAM propuesta mediante Samba Active Directory y Ansible, automatizando la gestión de usuarios, grupos, roles y permisos definidos en el diseño.</w:t>
      </w:r>
    </w:p>
    <w:p>
      <w:r>
        <w:rPr>
          <w:b w:val="0"/>
        </w:rPr>
        <w:t>• Evaluar el prototipo mediante escenarios de prueba e indicadores de centralización de identidades, administración de accesos, control de permisos, automatización y trazabilidad, para determinar el nivel alcanzado en cada criterio.</w:t>
      </w:r>
    </w:p>
    <w:p>
      <w:pPr>
        <w:pStyle w:val="Heading1"/>
      </w:pPr>
      <w:r>
        <w:t>4. Marco teórico y referencial</w:t>
      </w:r>
    </w:p>
    <w:p>
      <w:pPr>
        <w:pStyle w:val="Heading2"/>
      </w:pPr>
      <w:r>
        <w:t>4.1 Identidad digital, autenticación y autorización</w:t>
      </w:r>
    </w:p>
    <w:p>
      <w:r>
        <w:rPr>
          <w:b w:val="0"/>
        </w:rPr>
        <w:t>Una identidad digital es la representación lógica de una cuenta y sus atributos dentro del sistema. La autenticación comprueba que quien intenta acceder corresponde a la identidad declarada; la autorización determina si esa identidad puede realizar una acción sobre un recurso. La verificación de inicio de sesión no constituye, por sí sola, prueba de cumplimiento del modelo RBAC.</w:t>
      </w:r>
    </w:p>
    <w:p>
      <w:pPr>
        <w:pStyle w:val="Heading2"/>
      </w:pPr>
      <w:r>
        <w:t>4.2 Servicios de directorio e IAM</w:t>
      </w:r>
    </w:p>
    <w:p>
      <w:r>
        <w:rPr>
          <w:b w:val="0"/>
        </w:rPr>
        <w:t>La gestión de identidades y accesos comprende el ciclo de vida de cuentas y sus privilegios: alta, modificación, habilitación, deshabilitación, asignación y revocación de accesos. Samba Active Directory proporciona una infraestructura de dominio y objetos de directorio que pueden consultarse y administrarse técnicamente. En este estudio se prevé verificar los objetos mediante consultas reproducibles y la comparación con un catálogo de resultados esperados.</w:t>
      </w:r>
    </w:p>
    <w:p>
      <w:pPr>
        <w:pStyle w:val="Heading2"/>
      </w:pPr>
      <w:r>
        <w:t>4.3 Modelo RBAC y mínimo privilegio</w:t>
      </w:r>
    </w:p>
    <w:p>
      <w:r>
        <w:rPr>
          <w:b w:val="0"/>
        </w:rPr>
        <w:t>RBAC expresa decisiones de autorización a partir de roles definidos por función. La matriz de investigación relaciona rol, permiso, recurso, operación de prueba y resultado esperado. Para acreditar mínimo privilegio deben comprobarse tanto operaciones permitidas como intentos deliberadamente denegados, evitando confundir pertenencia a un grupo con enforcement efectivo en un servicio.</w:t>
      </w:r>
    </w:p>
    <w:p>
      <w:pPr>
        <w:pStyle w:val="Heading2"/>
      </w:pPr>
      <w:r>
        <w:t>4.4 Ansible, idempotencia y trazabilidad</w:t>
      </w:r>
    </w:p>
    <w:p>
      <w:r>
        <w:rPr>
          <w:b w:val="0"/>
        </w:rPr>
        <w:t>La automatización declarativa describe un estado objetivo del sistema y ejecuta tareas para alcanzarlo. En la evaluación prevista, la idempotencia se examinará repitiendo operaciones sobre un estado previamente conforme: la segunda ejecución no debería introducir cambios injustificados. La trazabilidad exige poder relacionar identidad ejecutora, operación, objeto afectado, fecha, resultado y escenario de prueba; un registro incompleto no se contará automáticamente como evidencia válida.</w:t>
      </w:r>
    </w:p>
    <w:p>
      <w:r>
        <w:t>El alcance de la arquitectura integra cuatro planos que deben distinguirse. El plano de identidades contiene cuentas, atributos, estados y grupos; el plano de autenticación utiliza el dominio y sus servicios asociados; el plano de autorización materializa permisos sobre cada recurso; el plano de automatización y auditoría ejecuta cambios de estado y permite reconstruir evidencias. La interconexión de estos planos constituye una hipótesis de integración, cuya efectividad deberá observarse en el laboratorio.</w:t>
      </w:r>
    </w:p>
    <w:p>
      <w:r>
        <w:t>El modelo RBAC no se acredita solamente mediante grupos del directorio. Es indispensable relacionar identidad → rol → grupo → privilegio → recurso → decisión observada y comprobar la aplicación de privilegios en cada servicio. La matriz propuesta por los estudiantes adopta esa orientación al incluir operaciones concretas y expectativas positivas y negativas; resta validar la configuración efectiva de los recursos.</w:t>
      </w:r>
    </w:p>
    <w:p>
      <w:r>
        <w:t>La automatización declarativa exige especificar un estado deseado y verificar el estado alcanzado. La idempotencia se comprueba cuando una nueva ejecución, sin cambios de entrada ni de entorno, no altera innecesariamente los objetos ya conformes. Ese resultado debe sustentarse en salidas y comprobaciones posteriores, no únicamente en un estado de finalización satisfactorio de Ansible.</w:t>
      </w:r>
    </w:p>
    <w:p>
      <w:pPr>
        <w:pStyle w:val="Heading1"/>
      </w:pPr>
      <w:r>
        <w:t>5. Hipótesis de investigación</w:t>
      </w:r>
    </w:p>
    <w:p>
      <w:r>
        <w:rPr>
          <w:b w:val="0"/>
        </w:rPr>
        <w:t>Hipótesis de trabajo (H1): La arquitectura experimental de Gestión de Identidades y Accesos (IAM), basada en Samba Active Directory, RBAC y automatización declarativa con Ansible, permite realizar operaciones de administración de identidades y accesos conforme a los criterios técnicos establecidos, aplicar decisiones de autorización según los roles y permisos definidos, y registrar los eventos correspondientes, obteniendo niveles de cumplimiento cuantificables en las cinco dimensiones de evaluación.</w:t>
      </w:r>
    </w:p>
    <w:p>
      <w:r>
        <w:rPr>
          <w:b w:val="0"/>
        </w:rPr>
        <w:t>Hipótesis nula (H0): La arquitectura experimental de Gestión de Identidades y Accesos (IAM), basada en Samba Active Directory, RBAC y automatización declarativa con Ansible, no permite cumplir los criterios técnicos establecidos para la administración de identidades y accesos, el control de permisos y el registro de eventos en los escenarios experimentales definidos.</w:t>
      </w:r>
    </w:p>
    <w:p>
      <w:r>
        <w:rPr>
          <w:b w:val="0"/>
        </w:rPr>
        <w:t>Estas formulaciones se preservan de la tesis fuente. Antes del contraste estadístico deben fijarse criterios explícitos de decisión, evitando interpretar cualquier porcentaje calculado como aceptación automática de H1.</w:t>
      </w:r>
    </w:p>
    <w:p>
      <w:pPr>
        <w:pStyle w:val="Heading1"/>
      </w:pPr>
      <w:r>
        <w:t>6. Variables y operacionalización</w:t>
      </w:r>
    </w:p>
    <w:p>
      <w:r>
        <w:rPr>
          <w:b w:val="0"/>
        </w:rPr>
        <w:t>La variable objeto de estudio es el funcionamiento de la arquitectura IAM experimental, operacionalizado mediante cinco dimensiones con unidades de observación diferenciadas.</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Dimensión</w:t>
            </w:r>
          </w:p>
        </w:tc>
        <w:tc>
          <w:tcPr>
            <w:tcW w:type="dxa" w:w="3120"/>
          </w:tcPr>
          <w:p>
            <w:pPr>
              <w:spacing w:line="240" w:lineRule="auto"/>
            </w:pPr>
            <w:r>
              <w:rPr>
                <w:rFonts w:ascii="Times New Roman" w:hAnsi="Times New Roman"/>
                <w:sz w:val="18"/>
              </w:rPr>
              <w:t>Unidad y criterio</w:t>
            </w:r>
          </w:p>
        </w:tc>
        <w:tc>
          <w:tcPr>
            <w:tcW w:type="dxa" w:w="3120"/>
          </w:tcPr>
          <w:p>
            <w:pPr>
              <w:spacing w:line="240" w:lineRule="auto"/>
            </w:pPr>
            <w:r>
              <w:rPr>
                <w:rFonts w:ascii="Times New Roman" w:hAnsi="Times New Roman"/>
                <w:sz w:val="18"/>
              </w:rPr>
              <w:t>Indicador previsto</w:t>
            </w:r>
          </w:p>
        </w:tc>
      </w:tr>
      <w:tr>
        <w:tc>
          <w:tcPr>
            <w:tcW w:type="dxa" w:w="3120"/>
          </w:tcPr>
          <w:p>
            <w:pPr>
              <w:spacing w:line="240" w:lineRule="auto"/>
            </w:pPr>
            <w:r>
              <w:rPr>
                <w:rFonts w:ascii="Times New Roman" w:hAnsi="Times New Roman"/>
                <w:sz w:val="18"/>
              </w:rPr>
              <w:t>Centralización</w:t>
            </w:r>
          </w:p>
        </w:tc>
        <w:tc>
          <w:tcPr>
            <w:tcW w:type="dxa" w:w="3120"/>
          </w:tcPr>
          <w:p>
            <w:pPr>
              <w:spacing w:line="240" w:lineRule="auto"/>
            </w:pPr>
            <w:r>
              <w:rPr>
                <w:rFonts w:ascii="Times New Roman" w:hAnsi="Times New Roman"/>
                <w:sz w:val="18"/>
              </w:rPr>
              <w:t>Identidades que satisfacen los seis criterios de verificación</w:t>
            </w:r>
          </w:p>
        </w:tc>
        <w:tc>
          <w:tcPr>
            <w:tcW w:type="dxa" w:w="3120"/>
          </w:tcPr>
          <w:p>
            <w:pPr>
              <w:spacing w:line="240" w:lineRule="auto"/>
            </w:pPr>
            <w:r>
              <w:rPr>
                <w:rFonts w:ascii="Times New Roman" w:hAnsi="Times New Roman"/>
                <w:sz w:val="18"/>
              </w:rPr>
              <w:t>(Identidades conformes / identidades evaluadas) × 100</w:t>
            </w:r>
          </w:p>
        </w:tc>
      </w:tr>
      <w:tr>
        <w:tc>
          <w:tcPr>
            <w:tcW w:type="dxa" w:w="3120"/>
          </w:tcPr>
          <w:p>
            <w:pPr>
              <w:spacing w:line="240" w:lineRule="auto"/>
            </w:pPr>
            <w:r>
              <w:rPr>
                <w:rFonts w:ascii="Times New Roman" w:hAnsi="Times New Roman"/>
                <w:sz w:val="18"/>
              </w:rPr>
              <w:t>Administración de accesos</w:t>
            </w:r>
          </w:p>
        </w:tc>
        <w:tc>
          <w:tcPr>
            <w:tcW w:type="dxa" w:w="3120"/>
          </w:tcPr>
          <w:p>
            <w:pPr>
              <w:spacing w:line="240" w:lineRule="auto"/>
            </w:pPr>
            <w:r>
              <w:rPr>
                <w:rFonts w:ascii="Times New Roman" w:hAnsi="Times New Roman"/>
                <w:sz w:val="18"/>
              </w:rPr>
              <w:t>Operaciones administrativas con estado final correcto</w:t>
            </w:r>
          </w:p>
        </w:tc>
        <w:tc>
          <w:tcPr>
            <w:tcW w:type="dxa" w:w="3120"/>
          </w:tcPr>
          <w:p>
            <w:pPr>
              <w:spacing w:line="240" w:lineRule="auto"/>
            </w:pPr>
            <w:r>
              <w:rPr>
                <w:rFonts w:ascii="Times New Roman" w:hAnsi="Times New Roman"/>
                <w:sz w:val="18"/>
              </w:rPr>
              <w:t>(Operaciones correctas / operaciones ejecutadas) × 100</w:t>
            </w:r>
          </w:p>
        </w:tc>
      </w:tr>
      <w:tr>
        <w:tc>
          <w:tcPr>
            <w:tcW w:type="dxa" w:w="3120"/>
          </w:tcPr>
          <w:p>
            <w:pPr>
              <w:spacing w:line="240" w:lineRule="auto"/>
            </w:pPr>
            <w:r>
              <w:rPr>
                <w:rFonts w:ascii="Times New Roman" w:hAnsi="Times New Roman"/>
                <w:sz w:val="18"/>
              </w:rPr>
              <w:t>RBAC</w:t>
            </w:r>
          </w:p>
        </w:tc>
        <w:tc>
          <w:tcPr>
            <w:tcW w:type="dxa" w:w="3120"/>
          </w:tcPr>
          <w:p>
            <w:pPr>
              <w:spacing w:line="240" w:lineRule="auto"/>
            </w:pPr>
            <w:r>
              <w:rPr>
                <w:rFonts w:ascii="Times New Roman" w:hAnsi="Times New Roman"/>
                <w:sz w:val="18"/>
              </w:rPr>
              <w:t>Decisiones de acceso coincidentes con la matriz aprobada</w:t>
            </w:r>
          </w:p>
        </w:tc>
        <w:tc>
          <w:tcPr>
            <w:tcW w:type="dxa" w:w="3120"/>
          </w:tcPr>
          <w:p>
            <w:pPr>
              <w:spacing w:line="240" w:lineRule="auto"/>
            </w:pPr>
            <w:r>
              <w:rPr>
                <w:rFonts w:ascii="Times New Roman" w:hAnsi="Times New Roman"/>
                <w:sz w:val="18"/>
              </w:rPr>
              <w:t>(Decisiones correctas / pruebas de autorización) × 100</w:t>
            </w:r>
          </w:p>
        </w:tc>
      </w:tr>
      <w:tr>
        <w:tc>
          <w:tcPr>
            <w:tcW w:type="dxa" w:w="3120"/>
          </w:tcPr>
          <w:p>
            <w:pPr>
              <w:spacing w:line="240" w:lineRule="auto"/>
            </w:pPr>
            <w:r>
              <w:rPr>
                <w:rFonts w:ascii="Times New Roman" w:hAnsi="Times New Roman"/>
                <w:sz w:val="18"/>
              </w:rPr>
              <w:t>Automatización</w:t>
            </w:r>
          </w:p>
        </w:tc>
        <w:tc>
          <w:tcPr>
            <w:tcW w:type="dxa" w:w="3120"/>
          </w:tcPr>
          <w:p>
            <w:pPr>
              <w:spacing w:line="240" w:lineRule="auto"/>
            </w:pPr>
            <w:r>
              <w:rPr>
                <w:rFonts w:ascii="Times New Roman" w:hAnsi="Times New Roman"/>
                <w:sz w:val="18"/>
              </w:rPr>
              <w:t>Operaciones automatizables completadas con estado correcto</w:t>
            </w:r>
          </w:p>
        </w:tc>
        <w:tc>
          <w:tcPr>
            <w:tcW w:type="dxa" w:w="3120"/>
          </w:tcPr>
          <w:p>
            <w:pPr>
              <w:spacing w:line="240" w:lineRule="auto"/>
            </w:pPr>
            <w:r>
              <w:rPr>
                <w:rFonts w:ascii="Times New Roman" w:hAnsi="Times New Roman"/>
                <w:sz w:val="18"/>
              </w:rPr>
              <w:t>(Operaciones Ansible correctas / operaciones automatizables evaluadas) × 100</w:t>
            </w:r>
          </w:p>
        </w:tc>
      </w:tr>
      <w:tr>
        <w:tc>
          <w:tcPr>
            <w:tcW w:type="dxa" w:w="3120"/>
          </w:tcPr>
          <w:p>
            <w:pPr>
              <w:spacing w:line="240" w:lineRule="auto"/>
            </w:pPr>
            <w:r>
              <w:rPr>
                <w:rFonts w:ascii="Times New Roman" w:hAnsi="Times New Roman"/>
                <w:sz w:val="18"/>
              </w:rPr>
              <w:t>Trazabilidad</w:t>
            </w:r>
          </w:p>
        </w:tc>
        <w:tc>
          <w:tcPr>
            <w:tcW w:type="dxa" w:w="3120"/>
          </w:tcPr>
          <w:p>
            <w:pPr>
              <w:spacing w:line="240" w:lineRule="auto"/>
            </w:pPr>
            <w:r>
              <w:rPr>
                <w:rFonts w:ascii="Times New Roman" w:hAnsi="Times New Roman"/>
                <w:sz w:val="18"/>
              </w:rPr>
              <w:t>Eventos vinculados a la operación y sus siete criterios</w:t>
            </w:r>
          </w:p>
        </w:tc>
        <w:tc>
          <w:tcPr>
            <w:tcW w:type="dxa" w:w="3120"/>
          </w:tcPr>
          <w:p>
            <w:pPr>
              <w:spacing w:line="240" w:lineRule="auto"/>
            </w:pPr>
            <w:r>
              <w:rPr>
                <w:rFonts w:ascii="Times New Roman" w:hAnsi="Times New Roman"/>
                <w:sz w:val="18"/>
              </w:rPr>
              <w:t>(Eventos conformes / eventos evaluados) × 100</w:t>
            </w:r>
          </w:p>
        </w:tc>
      </w:tr>
    </w:tbl>
    <w:p/>
    <w:p>
      <w:r>
        <w:rPr>
          <w:b w:val="0"/>
        </w:rPr>
        <w:t>La variación relativa del tiempo será ((tiempo manual − tiempo automatizado) / tiempo manual) × 100. Un resultado positivo indica menor tiempo en el procedimiento automatizado bajo las condiciones medidas; no demuestra por sí solo significación estadística. Los tiempos se registrarán en segundos por operación, incluyendo la verificación de su estado final.</w:t>
      </w:r>
    </w:p>
    <w:p>
      <w:r>
        <w:t>Se distingue entre variables de resultado y factores de configuración. La arquitectura experimental IAM constituye el objeto intervenido; las cinco dimensiones cuantifican propiedades observadas. La tecnología Samba AD, la composición RBAC y las tareas Ansible forman parte del tratamiento técnico del prototipo, pero su sola presencia no demuestra efectividad.</w:t>
      </w:r>
    </w:p>
    <w:p>
      <w:r>
        <w:t>La población proyectada corresponde a 2,000 cuentas sintéticas. Las 40 cuentas seleccionadas de manera intencional se usarán para cobertura funcional de ocho roles, equivalente al 2 % de la población de diseño. No procede atribuir margen de error o representatividad estadística a una muestra no probabilística. Las tres cuentas administrativas de ensayo se consideran distintas de esas 40, pero pertenecen a la población diseñada; la población efectiva creada deberá verificarse con una exportación del directorio.</w:t>
      </w:r>
    </w:p>
    <w:p>
      <w:r>
        <w:t>Las unidades de análisis son diferentes por dimensión: identidad digital (centralización), operación administrativa (administración), intento de autorización (RBAC), tipo de tarea y ejecución (automatización), evento esperado (trazabilidad) y pareja de tiempos bajo condiciones equivalentes (eficiencia). Mezclar estas unidades en un indicador global produciría un denominador inválido.</w:t>
      </w:r>
    </w:p>
    <w:p>
      <w:pPr>
        <w:pStyle w:val="Heading1"/>
      </w:pPr>
      <w:r>
        <w:t>7. Diseño metodológico</w:t>
      </w:r>
    </w:p>
    <w:p>
      <w:pPr>
        <w:pStyle w:val="Heading2"/>
      </w:pPr>
      <w:r>
        <w:t>7.1 Enfoque y alcance</w:t>
      </w:r>
    </w:p>
    <w:p>
      <w:r>
        <w:rPr>
          <w:b w:val="0"/>
        </w:rPr>
        <w:t>Se plantea un enfoque cuantitativo, con diseño evaluativo de laboratorio controlado. Los casos se observarán mediante verificaciones técnicas, ejecuciones registradas y comparación entre resultados esperados y observados. Se trabaja con un escenario universitario referencial, sin conexión declarada a una red de producción de la UNAN-Managua.</w:t>
      </w:r>
    </w:p>
    <w:p>
      <w:pPr>
        <w:pStyle w:val="Heading2"/>
      </w:pPr>
      <w:r>
        <w:t>7.2 Población y selección funcional</w:t>
      </w:r>
    </w:p>
    <w:p>
      <w:r>
        <w:rPr>
          <w:b w:val="0"/>
        </w:rPr>
        <w:t>La escala documental propuesta incluye 2,000 identidades sintéticas, distribuidas en ocho roles, 24 grupos, 40 permisos, diez recursos y veinte políticas. Para las pruebas funcionales se seleccionan intencionalmente 40 identidades (2 % de la escala prevista): cuatro de soporte, dos de infraestructura, tres administradores web, tres administradores Moodle, diez docentes, trece estudiantes, dos administradores Ansible y tres administradores de bases de datos. Esta selección busca cobertura de escenarios y no habilita estimaciones representativas del universo por inferencia probabilística.</w:t>
      </w:r>
    </w:p>
    <w:p>
      <w:r>
        <w:rPr>
          <w:b w:val="0"/>
        </w:rPr>
        <w:t>Tres cuentas adicionales, distintas de las cuarenta de autenticación y autorización, se emplearán para pruebas de administración, dentro de la población sintética proyectada. La cantidad efectivamente creada en el dominio deberá verificarse contra un registro exportado del sistema antes de presentarse como ejecución.</w:t>
      </w:r>
    </w:p>
    <w:p>
      <w:pPr>
        <w:pStyle w:val="Heading2"/>
      </w:pPr>
      <w:r>
        <w:t>7.3 Entorno e instrumentos</w:t>
      </w:r>
    </w:p>
    <w:p>
      <w:r>
        <w:rPr>
          <w:b w:val="0"/>
        </w:rPr>
        <w:t>El diseño contempla servicios sobre Proxmox VE y VMware ESXi, estaciones de laboratorio y un dominio Samba Active Directory. Los recursos previstos incluyen AD01, DNS01, WEB01, DB01, MOODLE01, ESXI01, PROXMOX01, LAB1, LAB2 y MGMT01. El expediente contiene catálogos de identidades, grupos, recursos y permisos, una matriz RBAC y un documento de secuencia de instalación. La evidencia de funcionamiento de los servicios requiere resultados de pruebas y registros técnicos adicionales.</w:t>
      </w:r>
    </w:p>
    <w:p>
      <w:pPr>
        <w:pStyle w:val="Heading2"/>
      </w:pPr>
      <w:r>
        <w:t>7.4 Escenarios y protocolo de ejecución</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Escenario</w:t>
            </w:r>
          </w:p>
        </w:tc>
        <w:tc>
          <w:tcPr>
            <w:tcW w:type="dxa" w:w="3120"/>
          </w:tcPr>
          <w:p>
            <w:pPr>
              <w:spacing w:line="240" w:lineRule="auto"/>
            </w:pPr>
            <w:r>
              <w:rPr>
                <w:rFonts w:ascii="Times New Roman" w:hAnsi="Times New Roman"/>
                <w:sz w:val="18"/>
              </w:rPr>
              <w:t>Volumen previsto</w:t>
            </w:r>
          </w:p>
        </w:tc>
        <w:tc>
          <w:tcPr>
            <w:tcW w:type="dxa" w:w="3120"/>
          </w:tcPr>
          <w:p>
            <w:pPr>
              <w:spacing w:line="240" w:lineRule="auto"/>
            </w:pPr>
            <w:r>
              <w:rPr>
                <w:rFonts w:ascii="Times New Roman" w:hAnsi="Times New Roman"/>
                <w:sz w:val="18"/>
              </w:rPr>
              <w:t>Evidencia necesaria</w:t>
            </w:r>
          </w:p>
        </w:tc>
      </w:tr>
      <w:tr>
        <w:tc>
          <w:tcPr>
            <w:tcW w:type="dxa" w:w="3120"/>
          </w:tcPr>
          <w:p>
            <w:pPr>
              <w:spacing w:line="240" w:lineRule="auto"/>
            </w:pPr>
            <w:r>
              <w:rPr>
                <w:rFonts w:ascii="Times New Roman" w:hAnsi="Times New Roman"/>
                <w:sz w:val="18"/>
              </w:rPr>
              <w:t>Autenticación centralizada</w:t>
            </w:r>
          </w:p>
        </w:tc>
        <w:tc>
          <w:tcPr>
            <w:tcW w:type="dxa" w:w="3120"/>
          </w:tcPr>
          <w:p>
            <w:pPr>
              <w:spacing w:line="240" w:lineRule="auto"/>
            </w:pPr>
            <w:r>
              <w:rPr>
                <w:rFonts w:ascii="Times New Roman" w:hAnsi="Times New Roman"/>
                <w:sz w:val="18"/>
              </w:rPr>
              <w:t>40 cuentas; una autenticación por cuenta</w:t>
            </w:r>
          </w:p>
        </w:tc>
        <w:tc>
          <w:tcPr>
            <w:tcW w:type="dxa" w:w="3120"/>
          </w:tcPr>
          <w:p>
            <w:pPr>
              <w:spacing w:line="240" w:lineRule="auto"/>
            </w:pPr>
            <w:r>
              <w:rPr>
                <w:rFonts w:ascii="Times New Roman" w:hAnsi="Times New Roman"/>
                <w:sz w:val="18"/>
              </w:rPr>
              <w:t>Identidad, ejecución, estado y bitácora</w:t>
            </w:r>
          </w:p>
        </w:tc>
      </w:tr>
      <w:tr>
        <w:tc>
          <w:tcPr>
            <w:tcW w:type="dxa" w:w="3120"/>
          </w:tcPr>
          <w:p>
            <w:pPr>
              <w:spacing w:line="240" w:lineRule="auto"/>
            </w:pPr>
            <w:r>
              <w:rPr>
                <w:rFonts w:ascii="Times New Roman" w:hAnsi="Times New Roman"/>
                <w:sz w:val="18"/>
              </w:rPr>
              <w:t>Autorización RBAC</w:t>
            </w:r>
          </w:p>
        </w:tc>
        <w:tc>
          <w:tcPr>
            <w:tcW w:type="dxa" w:w="3120"/>
          </w:tcPr>
          <w:p>
            <w:pPr>
              <w:spacing w:line="240" w:lineRule="auto"/>
            </w:pPr>
            <w:r>
              <w:rPr>
                <w:rFonts w:ascii="Times New Roman" w:hAnsi="Times New Roman"/>
                <w:sz w:val="18"/>
              </w:rPr>
              <w:t>Casos positivos y negativos por cuenta; matriz con 98 reglas propuestas</w:t>
            </w:r>
          </w:p>
        </w:tc>
        <w:tc>
          <w:tcPr>
            <w:tcW w:type="dxa" w:w="3120"/>
          </w:tcPr>
          <w:p>
            <w:pPr>
              <w:spacing w:line="240" w:lineRule="auto"/>
            </w:pPr>
            <w:r>
              <w:rPr>
                <w:rFonts w:ascii="Times New Roman" w:hAnsi="Times New Roman"/>
                <w:sz w:val="18"/>
              </w:rPr>
              <w:t>Regla, permiso, resultado observado y registro de recurso</w:t>
            </w:r>
          </w:p>
        </w:tc>
      </w:tr>
      <w:tr>
        <w:tc>
          <w:tcPr>
            <w:tcW w:type="dxa" w:w="3120"/>
          </w:tcPr>
          <w:p>
            <w:pPr>
              <w:spacing w:line="240" w:lineRule="auto"/>
            </w:pPr>
            <w:r>
              <w:rPr>
                <w:rFonts w:ascii="Times New Roman" w:hAnsi="Times New Roman"/>
                <w:sz w:val="18"/>
              </w:rPr>
              <w:t>Operaciones manuales</w:t>
            </w:r>
          </w:p>
        </w:tc>
        <w:tc>
          <w:tcPr>
            <w:tcW w:type="dxa" w:w="3120"/>
          </w:tcPr>
          <w:p>
            <w:pPr>
              <w:spacing w:line="240" w:lineRule="auto"/>
            </w:pPr>
            <w:r>
              <w:rPr>
                <w:rFonts w:ascii="Times New Roman" w:hAnsi="Times New Roman"/>
                <w:sz w:val="18"/>
              </w:rPr>
              <w:t>12: dos ejecuciones × seis tipos</w:t>
            </w:r>
          </w:p>
        </w:tc>
        <w:tc>
          <w:tcPr>
            <w:tcW w:type="dxa" w:w="3120"/>
          </w:tcPr>
          <w:p>
            <w:pPr>
              <w:spacing w:line="240" w:lineRule="auto"/>
            </w:pPr>
            <w:r>
              <w:rPr>
                <w:rFonts w:ascii="Times New Roman" w:hAnsi="Times New Roman"/>
                <w:sz w:val="18"/>
              </w:rPr>
              <w:t>Estado inicial/final, responsable, tiempo</w:t>
            </w:r>
          </w:p>
        </w:tc>
      </w:tr>
      <w:tr>
        <w:tc>
          <w:tcPr>
            <w:tcW w:type="dxa" w:w="3120"/>
          </w:tcPr>
          <w:p>
            <w:pPr>
              <w:spacing w:line="240" w:lineRule="auto"/>
            </w:pPr>
            <w:r>
              <w:rPr>
                <w:rFonts w:ascii="Times New Roman" w:hAnsi="Times New Roman"/>
                <w:sz w:val="18"/>
              </w:rPr>
              <w:t>Operaciones Ansible</w:t>
            </w:r>
          </w:p>
        </w:tc>
        <w:tc>
          <w:tcPr>
            <w:tcW w:type="dxa" w:w="3120"/>
          </w:tcPr>
          <w:p>
            <w:pPr>
              <w:spacing w:line="240" w:lineRule="auto"/>
            </w:pPr>
            <w:r>
              <w:rPr>
                <w:rFonts w:ascii="Times New Roman" w:hAnsi="Times New Roman"/>
                <w:sz w:val="18"/>
              </w:rPr>
              <w:t>12: dos ejecuciones × seis tipos</w:t>
            </w:r>
          </w:p>
        </w:tc>
        <w:tc>
          <w:tcPr>
            <w:tcW w:type="dxa" w:w="3120"/>
          </w:tcPr>
          <w:p>
            <w:pPr>
              <w:spacing w:line="240" w:lineRule="auto"/>
            </w:pPr>
            <w:r>
              <w:rPr>
                <w:rFonts w:ascii="Times New Roman" w:hAnsi="Times New Roman"/>
                <w:sz w:val="18"/>
              </w:rPr>
              <w:t>Playbook, salida, estado final, tiempo</w:t>
            </w:r>
          </w:p>
        </w:tc>
      </w:tr>
      <w:tr>
        <w:tc>
          <w:tcPr>
            <w:tcW w:type="dxa" w:w="3120"/>
          </w:tcPr>
          <w:p>
            <w:pPr>
              <w:spacing w:line="240" w:lineRule="auto"/>
            </w:pPr>
            <w:r>
              <w:rPr>
                <w:rFonts w:ascii="Times New Roman" w:hAnsi="Times New Roman"/>
                <w:sz w:val="18"/>
              </w:rPr>
              <w:t>Idempotencia</w:t>
            </w:r>
          </w:p>
        </w:tc>
        <w:tc>
          <w:tcPr>
            <w:tcW w:type="dxa" w:w="3120"/>
          </w:tcPr>
          <w:p>
            <w:pPr>
              <w:spacing w:line="240" w:lineRule="auto"/>
            </w:pPr>
            <w:r>
              <w:rPr>
                <w:rFonts w:ascii="Times New Roman" w:hAnsi="Times New Roman"/>
                <w:sz w:val="18"/>
              </w:rPr>
              <w:t>6 verificaciones propuestas</w:t>
            </w:r>
          </w:p>
        </w:tc>
        <w:tc>
          <w:tcPr>
            <w:tcW w:type="dxa" w:w="3120"/>
          </w:tcPr>
          <w:p>
            <w:pPr>
              <w:spacing w:line="240" w:lineRule="auto"/>
            </w:pPr>
            <w:r>
              <w:rPr>
                <w:rFonts w:ascii="Times New Roman" w:hAnsi="Times New Roman"/>
                <w:sz w:val="18"/>
              </w:rPr>
              <w:t>Segunda ejecución sin cambios injustificados</w:t>
            </w:r>
          </w:p>
        </w:tc>
      </w:tr>
      <w:tr>
        <w:tc>
          <w:tcPr>
            <w:tcW w:type="dxa" w:w="3120"/>
          </w:tcPr>
          <w:p>
            <w:pPr>
              <w:spacing w:line="240" w:lineRule="auto"/>
            </w:pPr>
            <w:r>
              <w:rPr>
                <w:rFonts w:ascii="Times New Roman" w:hAnsi="Times New Roman"/>
                <w:sz w:val="18"/>
              </w:rPr>
              <w:t>Trazabilidad</w:t>
            </w:r>
          </w:p>
        </w:tc>
        <w:tc>
          <w:tcPr>
            <w:tcW w:type="dxa" w:w="3120"/>
          </w:tcPr>
          <w:p>
            <w:pPr>
              <w:spacing w:line="240" w:lineRule="auto"/>
            </w:pPr>
            <w:r>
              <w:rPr>
                <w:rFonts w:ascii="Times New Roman" w:hAnsi="Times New Roman"/>
                <w:sz w:val="18"/>
              </w:rPr>
              <w:t>24 unidades de auditoría</w:t>
            </w:r>
          </w:p>
        </w:tc>
        <w:tc>
          <w:tcPr>
            <w:tcW w:type="dxa" w:w="3120"/>
          </w:tcPr>
          <w:p>
            <w:pPr>
              <w:spacing w:line="240" w:lineRule="auto"/>
            </w:pPr>
            <w:r>
              <w:rPr>
                <w:rFonts w:ascii="Times New Roman" w:hAnsi="Times New Roman"/>
                <w:sz w:val="18"/>
              </w:rPr>
              <w:t>Evento asociado y siete criterios verificados</w:t>
            </w:r>
          </w:p>
        </w:tc>
      </w:tr>
    </w:tbl>
    <w:p/>
    <w:p>
      <w:r>
        <w:rPr>
          <w:b w:val="0"/>
        </w:rPr>
        <w:t>Antes de cada ensayo se fijará el estado inicial; al concluir se documentará el resultado y se restaurará el escenario para no contaminar pruebas posteriores. Las restauraciones no se computarán como operaciones evaluadas. Para la comparación temporal, el inicio corresponde a la primera acción administrativa y el final a la verificación del estado deseado. Las hojas de registro deben identificar fecha, equipo, versión de software, cuenta de prueba, responsable, operación, resultado y ruta de evidencia.</w:t>
      </w:r>
    </w:p>
    <w:p>
      <w:pPr>
        <w:pStyle w:val="Heading2"/>
      </w:pPr>
      <w:r>
        <w:t>7.5 Análisis de datos y control de calidad</w:t>
      </w:r>
    </w:p>
    <w:p>
      <w:r>
        <w:rPr>
          <w:b w:val="0"/>
        </w:rPr>
        <w:t>Los datos se tabularán por dimensión con totales de pruebas válidas, correctas, incorrectas y no ejecutadas. Los porcentajes solo se calcularán sobre denominadores documentados; las pruebas pendientes no se convertirán en fallos ni en éxitos. Se utilizará estadística descriptiva; toda comparación manual/Ansible indicará el número efectivo de repeticiones y reconocerá que dos observaciones por procedimiento resultan insuficientes para inferencias sólidas sobre desempeño general.</w:t>
      </w:r>
    </w:p>
    <w:p>
      <w:r>
        <w:rPr>
          <w:b w:val="0"/>
        </w:rPr>
        <w:t>La reproducibilidad dependerá de fijar versiones, configuraciones, scripts y condiciones de prueba. La validez se apoyará en una relación trazable entre objetivo, indicador, instrumento, escenario y evidencia original. Los datos de identidad empleados deben ser ficticios o expresamente autorizados, sin almacenar secretos en anexos públicos.</w:t>
      </w:r>
    </w:p>
    <w:p>
      <w:r>
        <w:t>Operacionalización ajustada: centralización = identidades que satisfacen los seis criterios / identidades efectivamente verificadas × 100. Administración = operaciones con estado final correcto / operaciones válidas ejecutadas × 100. RBAC = intentos cuya decisión coincide con la matriz aprobada / intentos válidos ejecutados × 100. Cobertura Ansible = tipos de operación implementados y verificados / seis tipos automatizables definidos × 100. Éxito Ansible = ejecuciones con estado final correcto / ejecuciones válidas × 100. Trazabilidad = unidades de auditoría que satisfacen todos los criterios exigidos / unidades de auditoría esperadas y realmente generadas × 100.</w:t>
      </w:r>
    </w:p>
    <w:p>
      <w:r>
        <w:t>Eficiencia temporal: variación porcentual = ((tiempo manual − tiempo automatizado) / tiempo manual) × 100; un valor positivo significa menor duración automatizada. Solo deben compararse operaciones equivalentes, sobre el mismo estado inicial, con la verificación final incluida. La media y la mediana pueden presentarse junto con el rango de tiempos. Dos repeticiones por modalidad constituyen una exploración inicial y no justifican generalizaciones estadísticas.</w:t>
      </w:r>
    </w:p>
    <w:p>
      <w:r>
        <w:t>Regla para denominadores y faltantes: todo registro debe clasificar el caso como ejecutado válido, ejecutado inválido, no ejecutado o no aplicable. Los casos no ejecutados nunca se contarán como éxitos ni se incorporarán silenciosamente al denominador; la cobertura de ejecución se informará por separado como pruebas válidas ejecutadas / pruebas planificadas × 100. Ninguna fórmula podrá sustituir la ausencia de evidencia.</w:t>
      </w:r>
    </w:p>
    <w:p>
      <w:r>
        <w:t>Protocolo para RBAC: para cada REG-001 a REG-098 se registrarán identificador, cuenta sintética, rol, permiso, recurso, capa de autorización, acción concreta, decisión esperada, decisión obtenida, fecha, configuración, evidencia y criterio de aprobación. Se exigirá al menos un caso negativo crítico por recurso o rol relevante. En la matriz del 17 de octubre las columnas de observación, evidencia y cumplimiento continúan pendientes.</w:t>
      </w:r>
    </w:p>
    <w:p>
      <w:r>
        <w:t>Protocolo de auditoría: cada una de las 24 unidades administrativas proyectadas se vinculará con su identificador de operación, cuenta responsable, objeto afectado, acción, marca temporal, desenlace y correlación inequívoca con la ejecución. La comprobación podrá usar registros relacionados si no existe un evento único suficiente, siempre que la vinculación se justifique y conserve los originales.</w:t>
      </w:r>
    </w:p>
    <w:p>
      <w:r>
        <w:t>Control técnico preventivo: antes de importar cuentas debe comprobarse unicidad del identificador, existencia de OU, pertenencia a grupos válidos y ausencia de contraseñas en claro. Se detectaron nombres de cuenta susceptibles de normalización y discrepancias entre las rutas OU de los catálogos; corresponde revisar las reglas de nomenclatura antes de desplegar la carga sintética.</w:t>
      </w:r>
    </w:p>
    <w:p>
      <w:pPr>
        <w:pStyle w:val="Heading1"/>
      </w:pPr>
      <w:r>
        <w:t>8. Análisis y discusión de los avances</w:t>
      </w:r>
    </w:p>
    <w:p>
      <w:pPr>
        <w:pStyle w:val="Heading2"/>
      </w:pPr>
      <w:r>
        <w:t>8.1 Avances en el planteamiento y diseño</w:t>
      </w:r>
    </w:p>
    <w:p>
      <w:r>
        <w:rPr>
          <w:b w:val="0"/>
        </w:rPr>
        <w:t>El expediente presenta un problema delimitado, una pregunta principal, cuatro objetivos específicos y cinco dimensiones evaluativas. La versión de tesis del 17 de octubre añade procedimientos de evaluación que precisan condiciones iniciales, comparación de tiempos, verificación de eventos y repetición controlada. Por ello puede afirmarse que existe un avance metodológico documentado: el proyecto pasó de formular dimensiones a establecer un procedimiento propuesto para medirlas.</w:t>
      </w:r>
    </w:p>
    <w:p>
      <w:pPr>
        <w:pStyle w:val="Heading2"/>
      </w:pPr>
      <w:r>
        <w:t>8.2 Modelo de identidades y autorización</w:t>
      </w:r>
    </w:p>
    <w:p>
      <w:r>
        <w:rPr>
          <w:b w:val="0"/>
        </w:rPr>
        <w:t>Los objetos de directorio documentan una clasificación de ocho roles y sus grupos relacionados. La versión ampliada incluye una estructura de cuentas destinada al escenario sintético y una selección específica de 40 cuentas de prueba. La matriz RBAC del 17 de octubre relaciona 40 permisos con servicios y operaciones verificables, y formula 98 reglas de evaluación con expectativas de acceso permitido o denegado. Tales cifras describen el diseño documental y no equivalen a 98 pruebas ejecutadas.</w:t>
      </w:r>
    </w:p>
    <w:p>
      <w:r>
        <w:rPr>
          <w:b w:val="0"/>
        </w:rPr>
        <w:t>Se identifican asuntos todavía abiertos en el modelo: el alcance de lectura del directorio, la delegación de privilegios a cuentas utilizadas por Ansible, la delimitación del acceso SSH, las diferencias entre administración de un hipervisor y de sus máquinas virtuales y el acceso estudiantil a laboratorios. La resolución de estas reglas es esencial para que el indicador RBAC mida autorizaciones reales y no coincidencias nominales.</w:t>
      </w:r>
    </w:p>
    <w:p>
      <w:pPr>
        <w:pStyle w:val="Heading2"/>
      </w:pPr>
      <w:r>
        <w:t>8.3 Estado de implementación</w:t>
      </w:r>
    </w:p>
    <w:p>
      <w:r>
        <w:rPr>
          <w:b w:val="0"/>
        </w:rPr>
        <w:t>El archivo denominado “creacion prototipo_Proxmox.docx” registra la secuencia de configuración de almacenamiento, redes, máquina virtual de IAM-Samba, políticas, unidades organizativas, 24 grupos, asignaciones de roles, importación de identidades y automatización. En la documentación examinada esta secuencia constituye una planificación o bitácora descriptiva; no se adjuntó un conjunto suficiente de salidas de comandos, configuraciones exportadas y pruebas enlazadas para acreditar cada etapa como concluida.</w:t>
      </w:r>
    </w:p>
    <w:p>
      <w:r>
        <w:rPr>
          <w:b w:val="0"/>
        </w:rPr>
        <w:t>La propia versión de tesis del 17 de octubre reconoce que los playbooks de Ansible permanecen pendientes de implementación. Por tanto, no corresponde publicar niveles de éxito de automatización, tiempos de reducción ni resultados de idempotencia.</w:t>
      </w:r>
    </w:p>
    <w:p>
      <w:pPr>
        <w:pStyle w:val="Heading2"/>
      </w:pPr>
      <w:r>
        <w:t>8.4 Discusión sobre la evidencia disponible</w:t>
      </w:r>
    </w:p>
    <w:p>
      <w:r>
        <w:rPr>
          <w:b w:val="0"/>
        </w:rPr>
        <w:t>Los avances permiten valorar positivamente la trazabilidad conceptual entre la pregunta, las dimensiones, la selección de cuentas y la matriz de ensayos. No obstante, los resultados observados y las evidencias de la matriz RBAC se encuentran pendientes. El proyecto puede ser defendido como investigación en proceso, diferenciando con rigor los productos diseñados y los datos empíricos que deben producirse. El cumplimiento de la escala de 2,000 identidades, la confiabilidad del sistema y la eficacia de controles específicos siguen siendo cuestiones empíricas abiertas.</w:t>
      </w:r>
    </w:p>
    <w:p>
      <w:r>
        <w:t>Resultado documental verificable 1: la investigación formuló una población sintética de 2,000 identidades y seleccionó 40 identidades para ensayos funcionales, distribuidas entre ocho roles. Estas cifras describen decisiones de diseño, no una prueba de capacidad ni una tasa de centralización alcanzada.</w:t>
      </w:r>
    </w:p>
    <w:p>
      <w:r>
        <w:t>Resultado documental verificable 2: se elaboró una matriz con 98 reglas de autorización, asociando permisos, recursos, operaciones y decisiones esperadas. La inclusión de denegaciones constituye un punto fuerte para el principio de mínimo privilegio. La falta de resultados observados impide todavía emitir un porcentaje de cumplimiento de RBAC.</w:t>
      </w:r>
    </w:p>
    <w:p>
      <w:r>
        <w:t>Resultado documental verificable 3: se especificaron 24 operaciones administrativas, seis verificaciones de idempotencia y 24 unidades de comprobación de auditoría. La tesis declara pendientes los playbooks; por ello las comparaciones manual/Ansible y la valoración de trazabilidad siguen siendo procedimientos por ejecutar.</w:t>
      </w:r>
    </w:p>
    <w:p>
      <w:r>
        <w:t>La discusión científica de esta etapa debe centrar su aportación en la transformación de una arquitectura propuesta en un esquema explícito de medición. Entre sus limitaciones figuran la dependencia de un laboratorio referencial, una selección dirigida de cuentas y el hecho de no disponer aún de datos de ejecución. En consecuencia, las conclusiones de rendimiento permanecen abiertas.</w:t>
      </w:r>
    </w:p>
    <w:p>
      <w:pPr>
        <w:pStyle w:val="Heading1"/>
      </w:pPr>
      <w:r>
        <w:t>9. Conclusiones parciales</w:t>
      </w:r>
    </w:p>
    <w:p>
      <w:r>
        <w:rPr>
          <w:b w:val="0"/>
        </w:rPr>
        <w:t>• La investigación cuenta con una formulación del problema y una ruta evaluativa coherente con las cinco dimensiones de IAM previstas; ello constituye un avance científico-metodológico verificable en su documentación.</w:t>
      </w:r>
    </w:p>
    <w:p>
      <w:r>
        <w:rPr>
          <w:b w:val="0"/>
        </w:rPr>
        <w:t>• El diseño incorpora catálogos estructurados de roles, grupos, permisos, recursos y políticas, además de reglas RBAC y escenarios de prueba que permiten establecer resultados esperados antes de la ejecución.</w:t>
      </w:r>
    </w:p>
    <w:p>
      <w:r>
        <w:rPr>
          <w:b w:val="0"/>
        </w:rPr>
        <w:t>• La versión del 17 de octubre delimita una evaluación funcional mediante cuarenta cuentas y ensayos administrativos separados; esta delimitación mejora la reproducibilidad planeada, pero no respalda aún conclusiones sobre el desempeño de la población sintética completa.</w:t>
      </w:r>
    </w:p>
    <w:p>
      <w:r>
        <w:rPr>
          <w:b w:val="0"/>
        </w:rPr>
        <w:t>• No existe evidencia suficiente en los documentos examinados para concluir que la arquitectura alcanza porcentajes determinados de centralización, autorización correcta, automatización o trazabilidad. Esas conclusiones dependerán de ejecución, registro y análisis de pruebas.</w:t>
      </w:r>
    </w:p>
    <w:p>
      <w:pPr>
        <w:pStyle w:val="Heading1"/>
      </w:pPr>
      <w:r>
        <w:t>10. Recomendaciones</w:t>
      </w:r>
    </w:p>
    <w:p>
      <w:r>
        <w:rPr>
          <w:b w:val="0"/>
        </w:rPr>
        <w:t>• Depurar el catálogo de 2,000 identidades: verificar unicidad de usuario, formato de atributos, pertenencias y correspondencia entre rutas OU diseñadas y existentes.</w:t>
      </w:r>
    </w:p>
    <w:p>
      <w:r>
        <w:rPr>
          <w:b w:val="0"/>
        </w:rPr>
        <w:t>• Resolver las reglas RBAC pendientes y aprobar la matriz de autorización antes de realizar pruebas positivas y negativas.</w:t>
      </w:r>
    </w:p>
    <w:p>
      <w:r>
        <w:rPr>
          <w:b w:val="0"/>
        </w:rPr>
        <w:t>• Documentar el estado real de Proxmox, Samba AD, DNS, servicios, clientes y conectividad con capturas contextualizadas, configuraciones y salidas reproducibles.</w:t>
      </w:r>
    </w:p>
    <w:p>
      <w:r>
        <w:rPr>
          <w:b w:val="0"/>
        </w:rPr>
        <w:t>• Implementar y versionar los playbooks de Ansible, aplicar medidas para proteger secretos y registrar resultados de repetición e idempotencia.</w:t>
      </w:r>
    </w:p>
    <w:p>
      <w:r>
        <w:rPr>
          <w:b w:val="0"/>
        </w:rPr>
        <w:t>• Ejecutar las pruebas usando una hoja de medición estandarizada; publicar tasas y variaciones de tiempo exclusivamente a partir de datos observados.</w:t>
      </w:r>
    </w:p>
    <w:p>
      <w:r>
        <w:rPr>
          <w:b w:val="0"/>
        </w:rPr>
      </w:r>
      <w:r>
        <w:t>• Confirmar la correspondencia de cada cita con su referencia; incorporar los ORCID de los autores y la declaración de uso de IA conforme al formato institucional.</w:t>
      </w:r>
    </w:p>
    <w:p>
      <w:pPr>
        <w:pStyle w:val="Heading1"/>
      </w:pPr>
      <w:r>
        <w:t>11. Referencias</w:t>
      </w:r>
    </w:p>
    <w:p>
      <w:r/>
      <w:r>
        <w:t>Hernández-Sampieri, R., &amp; Mendoza Torres, C. P. (2018). Metodología de la investigación: Las rutas cuantitativa, cualitativa y mixta. McGraw-Hill Education.</w:t>
      </w:r>
    </w:p>
    <w:p>
      <w:r>
        <w:t>Sandhu, R., Ferraiolo, D. F., &amp; Kuhn, D. R. (2000). The NIST model for role-based access control: Towards a unified standard. Proceedings of the Fifth ACM Workshop on Role-Based Access Control. https://doi.org/10.1145/344287.344301</w:t>
      </w:r>
    </w:p>
    <w:p>
      <w:r>
        <w:t>National Institute of Standards and Technology. (s. f.). Role-Based Access Control: RBAC Library. https://csrc.nist.gov/projects/role-based-access-control/rbac-library</w:t>
      </w:r>
    </w:p>
    <w:p>
      <w:r>
        <w:t>Universidad Nacional Autónoma de Nicaragua, Managua. (2026). Metodología de la XLIV Jornada Universitaria de Desarrollo Científico. Documento institucional proporcionado para esta investigación.</w:t>
      </w:r>
    </w:p>
    <w:p>
      <w:r>
        <w:t>Eirea, N., Lausarot, R., &amp; Mundin, C. (2016). Desarrollo de sistema de autenticación y autorización Identity and Access Manager (IAM) [Proyecto de grado, Universidad de la República, Facultad de Ingeniería]. https://www.fing.edu.uy/~asabigue/prgrado/EireaLausarotMundin.pdf</w:t>
      </w:r>
    </w:p>
    <w:p>
      <w:r/>
      <w:r>
        <w:t>García Matus, F. J., &amp; Montano López, O. D. (2012). Diseño de una red que permita acceder a los servicios telemáticos, aplicando arquitectura DMZ como seguridad, bajo plataforma Linux y virtualización, en Radio Fe–Nandaime [Trabajo de graduación, Universidad Nacional Autónoma de Nicaragua, Managua]. https://repositorio.unan.edu.ni/id/eprint/5504/1/93726.pdf</w:t>
      </w:r>
    </w:p>
    <w:p>
      <w:pPr>
        <w:pStyle w:val="Heading1"/>
      </w:pPr>
      <w:r>
        <w:t>12. Anexos</w:t>
      </w:r>
    </w:p>
    <w:p>
      <w:r/>
    </w:p>
    <w:p>
      <w:pPr>
        <w:pStyle w:val="Heading2"/>
      </w:pPr>
      <w:r>
        <w:t>ANEXOS DOCUMENTALES INCORPORADOS Y COTEJADOS (17-10-2026)</w:t>
      </w:r>
    </w:p>
    <w:p>
      <w:r>
        <w:t>Los anexos siguientes reproducen extractos representativos de archivos identificados en el expediente oficial. No se presentan como resultados de ejecución: su alcance es de planificación y diseño. Las hojas de cálculo completas se conservan vinculadas en Google Drive para asegurar su integridad y trazabilidad.</w:t>
      </w:r>
    </w:p>
    <w:p>
      <w:pPr>
        <w:pStyle w:val="Heading2"/>
      </w:pPr>
      <w:r>
        <w:t>Anexo A1. Catálogo de roles del diseño IAM</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Código</w:t>
            </w:r>
          </w:p>
        </w:tc>
        <w:tc>
          <w:tcPr>
            <w:tcW w:type="dxa" w:w="3120"/>
          </w:tcPr>
          <w:p>
            <w:pPr>
              <w:spacing w:line="240" w:lineRule="auto"/>
            </w:pPr>
            <w:r>
              <w:rPr>
                <w:rFonts w:ascii="Times New Roman" w:hAnsi="Times New Roman"/>
                <w:sz w:val="18"/>
              </w:rPr>
              <w:t>Rol</w:t>
            </w:r>
          </w:p>
        </w:tc>
        <w:tc>
          <w:tcPr>
            <w:tcW w:type="dxa" w:w="3120"/>
          </w:tcPr>
          <w:p>
            <w:pPr>
              <w:spacing w:line="240" w:lineRule="auto"/>
            </w:pPr>
            <w:r>
              <w:rPr>
                <w:rFonts w:ascii="Times New Roman" w:hAnsi="Times New Roman"/>
                <w:sz w:val="18"/>
              </w:rPr>
              <w:t>Función de referencia</w:t>
            </w:r>
          </w:p>
        </w:tc>
      </w:tr>
      <w:tr>
        <w:tc>
          <w:tcPr>
            <w:tcW w:type="dxa" w:w="3120"/>
          </w:tcPr>
          <w:p>
            <w:pPr>
              <w:spacing w:line="240" w:lineRule="auto"/>
            </w:pPr>
            <w:r>
              <w:rPr>
                <w:rFonts w:ascii="Times New Roman" w:hAnsi="Times New Roman"/>
                <w:sz w:val="18"/>
              </w:rPr>
              <w:t>R01</w:t>
            </w:r>
          </w:p>
        </w:tc>
        <w:tc>
          <w:tcPr>
            <w:tcW w:type="dxa" w:w="3120"/>
          </w:tcPr>
          <w:p>
            <w:pPr>
              <w:spacing w:line="240" w:lineRule="auto"/>
            </w:pPr>
            <w:r>
              <w:rPr>
                <w:rFonts w:ascii="Times New Roman" w:hAnsi="Times New Roman"/>
                <w:sz w:val="18"/>
              </w:rPr>
              <w:t>Admin infraestructura</w:t>
            </w:r>
          </w:p>
        </w:tc>
        <w:tc>
          <w:tcPr>
            <w:tcW w:type="dxa" w:w="3120"/>
          </w:tcPr>
          <w:p>
            <w:pPr>
              <w:spacing w:line="240" w:lineRule="auto"/>
            </w:pPr>
            <w:r>
              <w:rPr>
                <w:rFonts w:ascii="Times New Roman" w:hAnsi="Times New Roman"/>
                <w:sz w:val="18"/>
              </w:rPr>
              <w:t>Administración general de infraestructura y servicios</w:t>
            </w:r>
          </w:p>
        </w:tc>
      </w:tr>
      <w:tr>
        <w:tc>
          <w:tcPr>
            <w:tcW w:type="dxa" w:w="3120"/>
          </w:tcPr>
          <w:p>
            <w:pPr>
              <w:spacing w:line="240" w:lineRule="auto"/>
            </w:pPr>
            <w:r>
              <w:rPr>
                <w:rFonts w:ascii="Times New Roman" w:hAnsi="Times New Roman"/>
                <w:sz w:val="18"/>
              </w:rPr>
              <w:t>R02</w:t>
            </w:r>
          </w:p>
        </w:tc>
        <w:tc>
          <w:tcPr>
            <w:tcW w:type="dxa" w:w="3120"/>
          </w:tcPr>
          <w:p>
            <w:pPr>
              <w:spacing w:line="240" w:lineRule="auto"/>
            </w:pPr>
            <w:r>
              <w:rPr>
                <w:rFonts w:ascii="Times New Roman" w:hAnsi="Times New Roman"/>
                <w:sz w:val="18"/>
              </w:rPr>
              <w:t>Admin soporte</w:t>
            </w:r>
          </w:p>
        </w:tc>
        <w:tc>
          <w:tcPr>
            <w:tcW w:type="dxa" w:w="3120"/>
          </w:tcPr>
          <w:p>
            <w:pPr>
              <w:spacing w:line="240" w:lineRule="auto"/>
            </w:pPr>
            <w:r>
              <w:rPr>
                <w:rFonts w:ascii="Times New Roman" w:hAnsi="Times New Roman"/>
                <w:sz w:val="18"/>
              </w:rPr>
              <w:t>Soporte técnico y laboratorios</w:t>
            </w:r>
          </w:p>
        </w:tc>
      </w:tr>
      <w:tr>
        <w:tc>
          <w:tcPr>
            <w:tcW w:type="dxa" w:w="3120"/>
          </w:tcPr>
          <w:p>
            <w:pPr>
              <w:spacing w:line="240" w:lineRule="auto"/>
            </w:pPr>
            <w:r>
              <w:rPr>
                <w:rFonts w:ascii="Times New Roman" w:hAnsi="Times New Roman"/>
                <w:sz w:val="18"/>
              </w:rPr>
              <w:t>R03</w:t>
            </w:r>
          </w:p>
        </w:tc>
        <w:tc>
          <w:tcPr>
            <w:tcW w:type="dxa" w:w="3120"/>
          </w:tcPr>
          <w:p>
            <w:pPr>
              <w:spacing w:line="240" w:lineRule="auto"/>
            </w:pPr>
            <w:r>
              <w:rPr>
                <w:rFonts w:ascii="Times New Roman" w:hAnsi="Times New Roman"/>
                <w:sz w:val="18"/>
              </w:rPr>
              <w:t>Admin Web</w:t>
            </w:r>
          </w:p>
        </w:tc>
        <w:tc>
          <w:tcPr>
            <w:tcW w:type="dxa" w:w="3120"/>
          </w:tcPr>
          <w:p>
            <w:pPr>
              <w:spacing w:line="240" w:lineRule="auto"/>
            </w:pPr>
            <w:r>
              <w:rPr>
                <w:rFonts w:ascii="Times New Roman" w:hAnsi="Times New Roman"/>
                <w:sz w:val="18"/>
              </w:rPr>
              <w:t>Administración de WEB01</w:t>
            </w:r>
          </w:p>
        </w:tc>
      </w:tr>
      <w:tr>
        <w:tc>
          <w:tcPr>
            <w:tcW w:type="dxa" w:w="3120"/>
          </w:tcPr>
          <w:p>
            <w:pPr>
              <w:spacing w:line="240" w:lineRule="auto"/>
            </w:pPr>
            <w:r>
              <w:rPr>
                <w:rFonts w:ascii="Times New Roman" w:hAnsi="Times New Roman"/>
                <w:sz w:val="18"/>
              </w:rPr>
              <w:t>R04</w:t>
            </w:r>
          </w:p>
        </w:tc>
        <w:tc>
          <w:tcPr>
            <w:tcW w:type="dxa" w:w="3120"/>
          </w:tcPr>
          <w:p>
            <w:pPr>
              <w:spacing w:line="240" w:lineRule="auto"/>
            </w:pPr>
            <w:r>
              <w:rPr>
                <w:rFonts w:ascii="Times New Roman" w:hAnsi="Times New Roman"/>
                <w:sz w:val="18"/>
              </w:rPr>
              <w:t>Admin BD</w:t>
            </w:r>
          </w:p>
        </w:tc>
        <w:tc>
          <w:tcPr>
            <w:tcW w:type="dxa" w:w="3120"/>
          </w:tcPr>
          <w:p>
            <w:pPr>
              <w:spacing w:line="240" w:lineRule="auto"/>
            </w:pPr>
            <w:r>
              <w:rPr>
                <w:rFonts w:ascii="Times New Roman" w:hAnsi="Times New Roman"/>
                <w:sz w:val="18"/>
              </w:rPr>
              <w:t>Administración de DB01</w:t>
            </w:r>
          </w:p>
        </w:tc>
      </w:tr>
      <w:tr>
        <w:tc>
          <w:tcPr>
            <w:tcW w:type="dxa" w:w="3120"/>
          </w:tcPr>
          <w:p>
            <w:pPr>
              <w:spacing w:line="240" w:lineRule="auto"/>
            </w:pPr>
            <w:r>
              <w:rPr>
                <w:rFonts w:ascii="Times New Roman" w:hAnsi="Times New Roman"/>
                <w:sz w:val="18"/>
              </w:rPr>
              <w:t>R05</w:t>
            </w:r>
          </w:p>
        </w:tc>
        <w:tc>
          <w:tcPr>
            <w:tcW w:type="dxa" w:w="3120"/>
          </w:tcPr>
          <w:p>
            <w:pPr>
              <w:spacing w:line="240" w:lineRule="auto"/>
            </w:pPr>
            <w:r>
              <w:rPr>
                <w:rFonts w:ascii="Times New Roman" w:hAnsi="Times New Roman"/>
                <w:sz w:val="18"/>
              </w:rPr>
              <w:t>Admin Moodle</w:t>
            </w:r>
          </w:p>
        </w:tc>
        <w:tc>
          <w:tcPr>
            <w:tcW w:type="dxa" w:w="3120"/>
          </w:tcPr>
          <w:p>
            <w:pPr>
              <w:spacing w:line="240" w:lineRule="auto"/>
            </w:pPr>
            <w:r>
              <w:rPr>
                <w:rFonts w:ascii="Times New Roman" w:hAnsi="Times New Roman"/>
                <w:sz w:val="18"/>
              </w:rPr>
              <w:t>Administración de MOODLE01</w:t>
            </w:r>
          </w:p>
        </w:tc>
      </w:tr>
      <w:tr>
        <w:tc>
          <w:tcPr>
            <w:tcW w:type="dxa" w:w="3120"/>
          </w:tcPr>
          <w:p>
            <w:pPr>
              <w:spacing w:line="240" w:lineRule="auto"/>
            </w:pPr>
            <w:r>
              <w:rPr>
                <w:rFonts w:ascii="Times New Roman" w:hAnsi="Times New Roman"/>
                <w:sz w:val="18"/>
              </w:rPr>
              <w:t>R06</w:t>
            </w:r>
          </w:p>
        </w:tc>
        <w:tc>
          <w:tcPr>
            <w:tcW w:type="dxa" w:w="3120"/>
          </w:tcPr>
          <w:p>
            <w:pPr>
              <w:spacing w:line="240" w:lineRule="auto"/>
            </w:pPr>
            <w:r>
              <w:rPr>
                <w:rFonts w:ascii="Times New Roman" w:hAnsi="Times New Roman"/>
                <w:sz w:val="18"/>
              </w:rPr>
              <w:t>Admin Ansible</w:t>
            </w:r>
          </w:p>
        </w:tc>
        <w:tc>
          <w:tcPr>
            <w:tcW w:type="dxa" w:w="3120"/>
          </w:tcPr>
          <w:p>
            <w:pPr>
              <w:spacing w:line="240" w:lineRule="auto"/>
            </w:pPr>
            <w:r>
              <w:rPr>
                <w:rFonts w:ascii="Times New Roman" w:hAnsi="Times New Roman"/>
                <w:sz w:val="18"/>
              </w:rPr>
              <w:t>Ejecución y mantenimiento de automatizaciones</w:t>
            </w:r>
          </w:p>
        </w:tc>
      </w:tr>
      <w:tr>
        <w:tc>
          <w:tcPr>
            <w:tcW w:type="dxa" w:w="3120"/>
          </w:tcPr>
          <w:p>
            <w:pPr>
              <w:spacing w:line="240" w:lineRule="auto"/>
            </w:pPr>
            <w:r>
              <w:rPr>
                <w:rFonts w:ascii="Times New Roman" w:hAnsi="Times New Roman"/>
                <w:sz w:val="18"/>
              </w:rPr>
              <w:t>R07</w:t>
            </w:r>
          </w:p>
        </w:tc>
        <w:tc>
          <w:tcPr>
            <w:tcW w:type="dxa" w:w="3120"/>
          </w:tcPr>
          <w:p>
            <w:pPr>
              <w:spacing w:line="240" w:lineRule="auto"/>
            </w:pPr>
            <w:r>
              <w:rPr>
                <w:rFonts w:ascii="Times New Roman" w:hAnsi="Times New Roman"/>
                <w:sz w:val="18"/>
              </w:rPr>
              <w:t>Docente</w:t>
            </w:r>
          </w:p>
        </w:tc>
        <w:tc>
          <w:tcPr>
            <w:tcW w:type="dxa" w:w="3120"/>
          </w:tcPr>
          <w:p>
            <w:pPr>
              <w:spacing w:line="240" w:lineRule="auto"/>
            </w:pPr>
            <w:r>
              <w:rPr>
                <w:rFonts w:ascii="Times New Roman" w:hAnsi="Times New Roman"/>
                <w:sz w:val="18"/>
              </w:rPr>
              <w:t>Acceso a recursos académicos autorizados</w:t>
            </w:r>
          </w:p>
        </w:tc>
      </w:tr>
      <w:tr>
        <w:tc>
          <w:tcPr>
            <w:tcW w:type="dxa" w:w="3120"/>
          </w:tcPr>
          <w:p>
            <w:pPr>
              <w:spacing w:line="240" w:lineRule="auto"/>
            </w:pPr>
            <w:r>
              <w:rPr>
                <w:rFonts w:ascii="Times New Roman" w:hAnsi="Times New Roman"/>
                <w:sz w:val="18"/>
              </w:rPr>
              <w:t>R08</w:t>
            </w:r>
          </w:p>
        </w:tc>
        <w:tc>
          <w:tcPr>
            <w:tcW w:type="dxa" w:w="3120"/>
          </w:tcPr>
          <w:p>
            <w:pPr>
              <w:spacing w:line="240" w:lineRule="auto"/>
            </w:pPr>
            <w:r>
              <w:rPr>
                <w:rFonts w:ascii="Times New Roman" w:hAnsi="Times New Roman"/>
                <w:sz w:val="18"/>
              </w:rPr>
              <w:t>Estudiante</w:t>
            </w:r>
          </w:p>
        </w:tc>
        <w:tc>
          <w:tcPr>
            <w:tcW w:type="dxa" w:w="3120"/>
          </w:tcPr>
          <w:p>
            <w:pPr>
              <w:spacing w:line="240" w:lineRule="auto"/>
            </w:pPr>
            <w:r>
              <w:rPr>
                <w:rFonts w:ascii="Times New Roman" w:hAnsi="Times New Roman"/>
                <w:sz w:val="18"/>
              </w:rPr>
              <w:t>Acceso a recursos académicos autorizados</w:t>
            </w:r>
          </w:p>
        </w:tc>
      </w:tr>
    </w:tbl>
    <w:p>
      <w:r>
        <w:t>Fuente: Objetos de directorio parte1.xlsx y parte2.xlsx. Ocho roles definidos, pendientes de ejecución y validación transversal.</w:t>
      </w:r>
    </w:p>
    <w:p>
      <w:pPr>
        <w:pStyle w:val="Heading2"/>
      </w:pPr>
      <w:r>
        <w:t>Anexo A2. Catálogo de recursos experimentales</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Código</w:t>
            </w:r>
          </w:p>
        </w:tc>
        <w:tc>
          <w:tcPr>
            <w:tcW w:type="dxa" w:w="3120"/>
          </w:tcPr>
          <w:p>
            <w:pPr>
              <w:spacing w:line="240" w:lineRule="auto"/>
            </w:pPr>
            <w:r>
              <w:rPr>
                <w:rFonts w:ascii="Times New Roman" w:hAnsi="Times New Roman"/>
                <w:sz w:val="18"/>
              </w:rPr>
              <w:t>Recurso</w:t>
            </w:r>
          </w:p>
        </w:tc>
        <w:tc>
          <w:tcPr>
            <w:tcW w:type="dxa" w:w="3120"/>
          </w:tcPr>
          <w:p>
            <w:pPr>
              <w:spacing w:line="240" w:lineRule="auto"/>
            </w:pPr>
            <w:r>
              <w:rPr>
                <w:rFonts w:ascii="Times New Roman" w:hAnsi="Times New Roman"/>
                <w:sz w:val="18"/>
              </w:rPr>
              <w:t>Componente</w:t>
            </w:r>
          </w:p>
        </w:tc>
      </w:tr>
      <w:tr>
        <w:tc>
          <w:tcPr>
            <w:tcW w:type="dxa" w:w="3120"/>
          </w:tcPr>
          <w:p>
            <w:pPr>
              <w:spacing w:line="240" w:lineRule="auto"/>
            </w:pPr>
            <w:r>
              <w:rPr>
                <w:rFonts w:ascii="Times New Roman" w:hAnsi="Times New Roman"/>
                <w:sz w:val="18"/>
              </w:rPr>
              <w:t>REC01</w:t>
            </w:r>
          </w:p>
        </w:tc>
        <w:tc>
          <w:tcPr>
            <w:tcW w:type="dxa" w:w="3120"/>
          </w:tcPr>
          <w:p>
            <w:pPr>
              <w:spacing w:line="240" w:lineRule="auto"/>
            </w:pPr>
            <w:r>
              <w:rPr>
                <w:rFonts w:ascii="Times New Roman" w:hAnsi="Times New Roman"/>
                <w:sz w:val="18"/>
              </w:rPr>
              <w:t>AD01</w:t>
            </w:r>
          </w:p>
        </w:tc>
        <w:tc>
          <w:tcPr>
            <w:tcW w:type="dxa" w:w="3120"/>
          </w:tcPr>
          <w:p>
            <w:pPr>
              <w:spacing w:line="240" w:lineRule="auto"/>
            </w:pPr>
            <w:r>
              <w:rPr>
                <w:rFonts w:ascii="Times New Roman" w:hAnsi="Times New Roman"/>
                <w:sz w:val="18"/>
              </w:rPr>
              <w:t>Samba AD/LDAP</w:t>
            </w:r>
          </w:p>
        </w:tc>
      </w:tr>
      <w:tr>
        <w:tc>
          <w:tcPr>
            <w:tcW w:type="dxa" w:w="3120"/>
          </w:tcPr>
          <w:p>
            <w:pPr>
              <w:spacing w:line="240" w:lineRule="auto"/>
            </w:pPr>
            <w:r>
              <w:rPr>
                <w:rFonts w:ascii="Times New Roman" w:hAnsi="Times New Roman"/>
                <w:sz w:val="18"/>
              </w:rPr>
              <w:t>REC02</w:t>
            </w:r>
          </w:p>
        </w:tc>
        <w:tc>
          <w:tcPr>
            <w:tcW w:type="dxa" w:w="3120"/>
          </w:tcPr>
          <w:p>
            <w:pPr>
              <w:spacing w:line="240" w:lineRule="auto"/>
            </w:pPr>
            <w:r>
              <w:rPr>
                <w:rFonts w:ascii="Times New Roman" w:hAnsi="Times New Roman"/>
                <w:sz w:val="18"/>
              </w:rPr>
              <w:t>DNS01</w:t>
            </w:r>
          </w:p>
        </w:tc>
        <w:tc>
          <w:tcPr>
            <w:tcW w:type="dxa" w:w="3120"/>
          </w:tcPr>
          <w:p>
            <w:pPr>
              <w:spacing w:line="240" w:lineRule="auto"/>
            </w:pPr>
            <w:r>
              <w:rPr>
                <w:rFonts w:ascii="Times New Roman" w:hAnsi="Times New Roman"/>
                <w:sz w:val="18"/>
              </w:rPr>
              <w:t>DNS</w:t>
            </w:r>
          </w:p>
        </w:tc>
      </w:tr>
      <w:tr>
        <w:tc>
          <w:tcPr>
            <w:tcW w:type="dxa" w:w="3120"/>
          </w:tcPr>
          <w:p>
            <w:pPr>
              <w:spacing w:line="240" w:lineRule="auto"/>
            </w:pPr>
            <w:r>
              <w:rPr>
                <w:rFonts w:ascii="Times New Roman" w:hAnsi="Times New Roman"/>
                <w:sz w:val="18"/>
              </w:rPr>
              <w:t>REC03</w:t>
            </w:r>
          </w:p>
        </w:tc>
        <w:tc>
          <w:tcPr>
            <w:tcW w:type="dxa" w:w="3120"/>
          </w:tcPr>
          <w:p>
            <w:pPr>
              <w:spacing w:line="240" w:lineRule="auto"/>
            </w:pPr>
            <w:r>
              <w:rPr>
                <w:rFonts w:ascii="Times New Roman" w:hAnsi="Times New Roman"/>
                <w:sz w:val="18"/>
              </w:rPr>
              <w:t>WEB01</w:t>
            </w:r>
          </w:p>
        </w:tc>
        <w:tc>
          <w:tcPr>
            <w:tcW w:type="dxa" w:w="3120"/>
          </w:tcPr>
          <w:p>
            <w:pPr>
              <w:spacing w:line="240" w:lineRule="auto"/>
            </w:pPr>
            <w:r>
              <w:rPr>
                <w:rFonts w:ascii="Times New Roman" w:hAnsi="Times New Roman"/>
                <w:sz w:val="18"/>
              </w:rPr>
              <w:t>Servicio web</w:t>
            </w:r>
          </w:p>
        </w:tc>
      </w:tr>
      <w:tr>
        <w:tc>
          <w:tcPr>
            <w:tcW w:type="dxa" w:w="3120"/>
          </w:tcPr>
          <w:p>
            <w:pPr>
              <w:spacing w:line="240" w:lineRule="auto"/>
            </w:pPr>
            <w:r>
              <w:rPr>
                <w:rFonts w:ascii="Times New Roman" w:hAnsi="Times New Roman"/>
                <w:sz w:val="18"/>
              </w:rPr>
              <w:t>REC04</w:t>
            </w:r>
          </w:p>
        </w:tc>
        <w:tc>
          <w:tcPr>
            <w:tcW w:type="dxa" w:w="3120"/>
          </w:tcPr>
          <w:p>
            <w:pPr>
              <w:spacing w:line="240" w:lineRule="auto"/>
            </w:pPr>
            <w:r>
              <w:rPr>
                <w:rFonts w:ascii="Times New Roman" w:hAnsi="Times New Roman"/>
                <w:sz w:val="18"/>
              </w:rPr>
              <w:t>DB01</w:t>
            </w:r>
          </w:p>
        </w:tc>
        <w:tc>
          <w:tcPr>
            <w:tcW w:type="dxa" w:w="3120"/>
          </w:tcPr>
          <w:p>
            <w:pPr>
              <w:spacing w:line="240" w:lineRule="auto"/>
            </w:pPr>
            <w:r>
              <w:rPr>
                <w:rFonts w:ascii="Times New Roman" w:hAnsi="Times New Roman"/>
                <w:sz w:val="18"/>
              </w:rPr>
              <w:t>Base de datos</w:t>
            </w:r>
          </w:p>
        </w:tc>
      </w:tr>
      <w:tr>
        <w:tc>
          <w:tcPr>
            <w:tcW w:type="dxa" w:w="3120"/>
          </w:tcPr>
          <w:p>
            <w:pPr>
              <w:spacing w:line="240" w:lineRule="auto"/>
            </w:pPr>
            <w:r>
              <w:rPr>
                <w:rFonts w:ascii="Times New Roman" w:hAnsi="Times New Roman"/>
                <w:sz w:val="18"/>
              </w:rPr>
              <w:t>REC05</w:t>
            </w:r>
          </w:p>
        </w:tc>
        <w:tc>
          <w:tcPr>
            <w:tcW w:type="dxa" w:w="3120"/>
          </w:tcPr>
          <w:p>
            <w:pPr>
              <w:spacing w:line="240" w:lineRule="auto"/>
            </w:pPr>
            <w:r>
              <w:rPr>
                <w:rFonts w:ascii="Times New Roman" w:hAnsi="Times New Roman"/>
                <w:sz w:val="18"/>
              </w:rPr>
              <w:t>MOODLE01</w:t>
            </w:r>
          </w:p>
        </w:tc>
        <w:tc>
          <w:tcPr>
            <w:tcW w:type="dxa" w:w="3120"/>
          </w:tcPr>
          <w:p>
            <w:pPr>
              <w:spacing w:line="240" w:lineRule="auto"/>
            </w:pPr>
            <w:r>
              <w:rPr>
                <w:rFonts w:ascii="Times New Roman" w:hAnsi="Times New Roman"/>
                <w:sz w:val="18"/>
              </w:rPr>
              <w:t>Plataforma académica</w:t>
            </w:r>
          </w:p>
        </w:tc>
      </w:tr>
      <w:tr>
        <w:tc>
          <w:tcPr>
            <w:tcW w:type="dxa" w:w="3120"/>
          </w:tcPr>
          <w:p>
            <w:pPr>
              <w:spacing w:line="240" w:lineRule="auto"/>
            </w:pPr>
            <w:r>
              <w:rPr>
                <w:rFonts w:ascii="Times New Roman" w:hAnsi="Times New Roman"/>
                <w:sz w:val="18"/>
              </w:rPr>
              <w:t>REC06</w:t>
            </w:r>
          </w:p>
        </w:tc>
        <w:tc>
          <w:tcPr>
            <w:tcW w:type="dxa" w:w="3120"/>
          </w:tcPr>
          <w:p>
            <w:pPr>
              <w:spacing w:line="240" w:lineRule="auto"/>
            </w:pPr>
            <w:r>
              <w:rPr>
                <w:rFonts w:ascii="Times New Roman" w:hAnsi="Times New Roman"/>
                <w:sz w:val="18"/>
              </w:rPr>
              <w:t>ESXI01</w:t>
            </w:r>
          </w:p>
        </w:tc>
        <w:tc>
          <w:tcPr>
            <w:tcW w:type="dxa" w:w="3120"/>
          </w:tcPr>
          <w:p>
            <w:pPr>
              <w:spacing w:line="240" w:lineRule="auto"/>
            </w:pPr>
            <w:r>
              <w:rPr>
                <w:rFonts w:ascii="Times New Roman" w:hAnsi="Times New Roman"/>
                <w:sz w:val="18"/>
              </w:rPr>
              <w:t>VMware ESXi</w:t>
            </w:r>
          </w:p>
        </w:tc>
      </w:tr>
      <w:tr>
        <w:tc>
          <w:tcPr>
            <w:tcW w:type="dxa" w:w="3120"/>
          </w:tcPr>
          <w:p>
            <w:pPr>
              <w:spacing w:line="240" w:lineRule="auto"/>
            </w:pPr>
            <w:r>
              <w:rPr>
                <w:rFonts w:ascii="Times New Roman" w:hAnsi="Times New Roman"/>
                <w:sz w:val="18"/>
              </w:rPr>
              <w:t>REC07</w:t>
            </w:r>
          </w:p>
        </w:tc>
        <w:tc>
          <w:tcPr>
            <w:tcW w:type="dxa" w:w="3120"/>
          </w:tcPr>
          <w:p>
            <w:pPr>
              <w:spacing w:line="240" w:lineRule="auto"/>
            </w:pPr>
            <w:r>
              <w:rPr>
                <w:rFonts w:ascii="Times New Roman" w:hAnsi="Times New Roman"/>
                <w:sz w:val="18"/>
              </w:rPr>
              <w:t>PROXMOX01</w:t>
            </w:r>
          </w:p>
        </w:tc>
        <w:tc>
          <w:tcPr>
            <w:tcW w:type="dxa" w:w="3120"/>
          </w:tcPr>
          <w:p>
            <w:pPr>
              <w:spacing w:line="240" w:lineRule="auto"/>
            </w:pPr>
            <w:r>
              <w:rPr>
                <w:rFonts w:ascii="Times New Roman" w:hAnsi="Times New Roman"/>
                <w:sz w:val="18"/>
              </w:rPr>
              <w:t>Proxmox VE</w:t>
            </w:r>
          </w:p>
        </w:tc>
      </w:tr>
      <w:tr>
        <w:tc>
          <w:tcPr>
            <w:tcW w:type="dxa" w:w="3120"/>
          </w:tcPr>
          <w:p>
            <w:pPr>
              <w:spacing w:line="240" w:lineRule="auto"/>
            </w:pPr>
            <w:r>
              <w:rPr>
                <w:rFonts w:ascii="Times New Roman" w:hAnsi="Times New Roman"/>
                <w:sz w:val="18"/>
              </w:rPr>
              <w:t>REC08</w:t>
            </w:r>
          </w:p>
        </w:tc>
        <w:tc>
          <w:tcPr>
            <w:tcW w:type="dxa" w:w="3120"/>
          </w:tcPr>
          <w:p>
            <w:pPr>
              <w:spacing w:line="240" w:lineRule="auto"/>
            </w:pPr>
            <w:r>
              <w:rPr>
                <w:rFonts w:ascii="Times New Roman" w:hAnsi="Times New Roman"/>
                <w:sz w:val="18"/>
              </w:rPr>
              <w:t>LAB1</w:t>
            </w:r>
          </w:p>
        </w:tc>
        <w:tc>
          <w:tcPr>
            <w:tcW w:type="dxa" w:w="3120"/>
          </w:tcPr>
          <w:p>
            <w:pPr>
              <w:spacing w:line="240" w:lineRule="auto"/>
            </w:pPr>
            <w:r>
              <w:rPr>
                <w:rFonts w:ascii="Times New Roman" w:hAnsi="Times New Roman"/>
                <w:sz w:val="18"/>
              </w:rPr>
              <w:t>Laboratorio 1</w:t>
            </w:r>
          </w:p>
        </w:tc>
      </w:tr>
      <w:tr>
        <w:tc>
          <w:tcPr>
            <w:tcW w:type="dxa" w:w="3120"/>
          </w:tcPr>
          <w:p>
            <w:pPr>
              <w:spacing w:line="240" w:lineRule="auto"/>
            </w:pPr>
            <w:r>
              <w:rPr>
                <w:rFonts w:ascii="Times New Roman" w:hAnsi="Times New Roman"/>
                <w:sz w:val="18"/>
              </w:rPr>
              <w:t>REC09</w:t>
            </w:r>
          </w:p>
        </w:tc>
        <w:tc>
          <w:tcPr>
            <w:tcW w:type="dxa" w:w="3120"/>
          </w:tcPr>
          <w:p>
            <w:pPr>
              <w:spacing w:line="240" w:lineRule="auto"/>
            </w:pPr>
            <w:r>
              <w:rPr>
                <w:rFonts w:ascii="Times New Roman" w:hAnsi="Times New Roman"/>
                <w:sz w:val="18"/>
              </w:rPr>
              <w:t>LAB2</w:t>
            </w:r>
          </w:p>
        </w:tc>
        <w:tc>
          <w:tcPr>
            <w:tcW w:type="dxa" w:w="3120"/>
          </w:tcPr>
          <w:p>
            <w:pPr>
              <w:spacing w:line="240" w:lineRule="auto"/>
            </w:pPr>
            <w:r>
              <w:rPr>
                <w:rFonts w:ascii="Times New Roman" w:hAnsi="Times New Roman"/>
                <w:sz w:val="18"/>
              </w:rPr>
              <w:t>Laboratorio 2</w:t>
            </w:r>
          </w:p>
        </w:tc>
      </w:tr>
      <w:tr>
        <w:tc>
          <w:tcPr>
            <w:tcW w:type="dxa" w:w="3120"/>
          </w:tcPr>
          <w:p>
            <w:pPr>
              <w:spacing w:line="240" w:lineRule="auto"/>
            </w:pPr>
            <w:r>
              <w:rPr>
                <w:rFonts w:ascii="Times New Roman" w:hAnsi="Times New Roman"/>
                <w:sz w:val="18"/>
              </w:rPr>
              <w:t>REC10</w:t>
            </w:r>
          </w:p>
        </w:tc>
        <w:tc>
          <w:tcPr>
            <w:tcW w:type="dxa" w:w="3120"/>
          </w:tcPr>
          <w:p>
            <w:pPr>
              <w:spacing w:line="240" w:lineRule="auto"/>
            </w:pPr>
            <w:r>
              <w:rPr>
                <w:rFonts w:ascii="Times New Roman" w:hAnsi="Times New Roman"/>
                <w:sz w:val="18"/>
              </w:rPr>
              <w:t>MGMT01</w:t>
            </w:r>
          </w:p>
        </w:tc>
        <w:tc>
          <w:tcPr>
            <w:tcW w:type="dxa" w:w="3120"/>
          </w:tcPr>
          <w:p>
            <w:pPr>
              <w:spacing w:line="240" w:lineRule="auto"/>
            </w:pPr>
            <w:r>
              <w:rPr>
                <w:rFonts w:ascii="Times New Roman" w:hAnsi="Times New Roman"/>
                <w:sz w:val="18"/>
              </w:rPr>
              <w:t>Gestión/automatización</w:t>
            </w:r>
          </w:p>
        </w:tc>
      </w:tr>
    </w:tbl>
    <w:p>
      <w:pPr>
        <w:pStyle w:val="Heading2"/>
      </w:pPr>
      <w:r>
        <w:t>Anexo B. Muestra de la matriz RBAC existente</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Pr>
          <w:p>
            <w:pPr>
              <w:spacing w:line="240" w:lineRule="auto"/>
            </w:pPr>
            <w:r>
              <w:rPr>
                <w:rFonts w:ascii="Times New Roman" w:hAnsi="Times New Roman"/>
                <w:sz w:val="18"/>
              </w:rPr>
              <w:t>Regla</w:t>
            </w:r>
          </w:p>
        </w:tc>
        <w:tc>
          <w:tcPr>
            <w:tcW w:type="dxa" w:w="1560"/>
          </w:tcPr>
          <w:p>
            <w:pPr>
              <w:spacing w:line="240" w:lineRule="auto"/>
            </w:pPr>
            <w:r>
              <w:rPr>
                <w:rFonts w:ascii="Times New Roman" w:hAnsi="Times New Roman"/>
                <w:sz w:val="18"/>
              </w:rPr>
              <w:t>Rol</w:t>
            </w:r>
          </w:p>
        </w:tc>
        <w:tc>
          <w:tcPr>
            <w:tcW w:type="dxa" w:w="1560"/>
          </w:tcPr>
          <w:p>
            <w:pPr>
              <w:spacing w:line="240" w:lineRule="auto"/>
            </w:pPr>
            <w:r>
              <w:rPr>
                <w:rFonts w:ascii="Times New Roman" w:hAnsi="Times New Roman"/>
                <w:sz w:val="18"/>
              </w:rPr>
              <w:t>Permiso</w:t>
            </w:r>
          </w:p>
        </w:tc>
        <w:tc>
          <w:tcPr>
            <w:tcW w:type="dxa" w:w="1560"/>
          </w:tcPr>
          <w:p>
            <w:pPr>
              <w:spacing w:line="240" w:lineRule="auto"/>
            </w:pPr>
            <w:r>
              <w:rPr>
                <w:rFonts w:ascii="Times New Roman" w:hAnsi="Times New Roman"/>
                <w:sz w:val="18"/>
              </w:rPr>
              <w:t>Recurso</w:t>
            </w:r>
          </w:p>
        </w:tc>
        <w:tc>
          <w:tcPr>
            <w:tcW w:type="dxa" w:w="1560"/>
          </w:tcPr>
          <w:p>
            <w:pPr>
              <w:spacing w:line="240" w:lineRule="auto"/>
            </w:pPr>
            <w:r>
              <w:rPr>
                <w:rFonts w:ascii="Times New Roman" w:hAnsi="Times New Roman"/>
                <w:sz w:val="18"/>
              </w:rPr>
              <w:t>Esperado</w:t>
            </w:r>
          </w:p>
        </w:tc>
        <w:tc>
          <w:tcPr>
            <w:tcW w:type="dxa" w:w="1560"/>
          </w:tcPr>
          <w:p>
            <w:pPr>
              <w:spacing w:line="240" w:lineRule="auto"/>
            </w:pPr>
            <w:r>
              <w:rPr>
                <w:rFonts w:ascii="Times New Roman" w:hAnsi="Times New Roman"/>
                <w:sz w:val="18"/>
              </w:rPr>
              <w:t>Estado observado</w:t>
            </w:r>
          </w:p>
        </w:tc>
      </w:tr>
      <w:tr>
        <w:tc>
          <w:tcPr>
            <w:tcW w:type="dxa" w:w="1560"/>
          </w:tcPr>
          <w:p>
            <w:pPr>
              <w:spacing w:line="240" w:lineRule="auto"/>
            </w:pPr>
            <w:r>
              <w:rPr>
                <w:rFonts w:ascii="Times New Roman" w:hAnsi="Times New Roman"/>
                <w:sz w:val="18"/>
              </w:rPr>
              <w:t>REG-001</w:t>
            </w:r>
          </w:p>
        </w:tc>
        <w:tc>
          <w:tcPr>
            <w:tcW w:type="dxa" w:w="1560"/>
          </w:tcPr>
          <w:p>
            <w:pPr>
              <w:spacing w:line="240" w:lineRule="auto"/>
            </w:pPr>
            <w:r>
              <w:rPr>
                <w:rFonts w:ascii="Times New Roman" w:hAnsi="Times New Roman"/>
                <w:sz w:val="18"/>
              </w:rPr>
              <w:t>R01</w:t>
            </w:r>
          </w:p>
        </w:tc>
        <w:tc>
          <w:tcPr>
            <w:tcW w:type="dxa" w:w="1560"/>
          </w:tcPr>
          <w:p>
            <w:pPr>
              <w:spacing w:line="240" w:lineRule="auto"/>
            </w:pPr>
            <w:r>
              <w:rPr>
                <w:rFonts w:ascii="Times New Roman" w:hAnsi="Times New Roman"/>
                <w:sz w:val="18"/>
              </w:rPr>
              <w:t>P01 Autenticar</w:t>
            </w:r>
          </w:p>
        </w:tc>
        <w:tc>
          <w:tcPr>
            <w:tcW w:type="dxa" w:w="1560"/>
          </w:tcPr>
          <w:p>
            <w:pPr>
              <w:spacing w:line="240" w:lineRule="auto"/>
            </w:pPr>
            <w:r>
              <w:rPr>
                <w:rFonts w:ascii="Times New Roman" w:hAnsi="Times New Roman"/>
                <w:sz w:val="18"/>
              </w:rPr>
              <w:t>AD01</w:t>
            </w:r>
          </w:p>
        </w:tc>
        <w:tc>
          <w:tcPr>
            <w:tcW w:type="dxa" w:w="1560"/>
          </w:tcPr>
          <w:p>
            <w:pPr>
              <w:spacing w:line="240" w:lineRule="auto"/>
            </w:pPr>
            <w:r>
              <w:rPr>
                <w:rFonts w:ascii="Times New Roman" w:hAnsi="Times New Roman"/>
                <w:sz w:val="18"/>
              </w:rPr>
              <w:t>Permitido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REG-008</w:t>
            </w:r>
          </w:p>
        </w:tc>
        <w:tc>
          <w:tcPr>
            <w:tcW w:type="dxa" w:w="1560"/>
          </w:tcPr>
          <w:p>
            <w:pPr>
              <w:spacing w:line="240" w:lineRule="auto"/>
            </w:pPr>
            <w:r>
              <w:rPr>
                <w:rFonts w:ascii="Times New Roman" w:hAnsi="Times New Roman"/>
                <w:sz w:val="18"/>
              </w:rPr>
              <w:t>R08</w:t>
            </w:r>
          </w:p>
        </w:tc>
        <w:tc>
          <w:tcPr>
            <w:tcW w:type="dxa" w:w="1560"/>
          </w:tcPr>
          <w:p>
            <w:pPr>
              <w:spacing w:line="240" w:lineRule="auto"/>
            </w:pPr>
            <w:r>
              <w:rPr>
                <w:rFonts w:ascii="Times New Roman" w:hAnsi="Times New Roman"/>
                <w:sz w:val="18"/>
              </w:rPr>
              <w:t>P01 Autenticar</w:t>
            </w:r>
          </w:p>
        </w:tc>
        <w:tc>
          <w:tcPr>
            <w:tcW w:type="dxa" w:w="1560"/>
          </w:tcPr>
          <w:p>
            <w:pPr>
              <w:spacing w:line="240" w:lineRule="auto"/>
            </w:pPr>
            <w:r>
              <w:rPr>
                <w:rFonts w:ascii="Times New Roman" w:hAnsi="Times New Roman"/>
                <w:sz w:val="18"/>
              </w:rPr>
              <w:t>AD01</w:t>
            </w:r>
          </w:p>
        </w:tc>
        <w:tc>
          <w:tcPr>
            <w:tcW w:type="dxa" w:w="1560"/>
          </w:tcPr>
          <w:p>
            <w:pPr>
              <w:spacing w:line="240" w:lineRule="auto"/>
            </w:pPr>
            <w:r>
              <w:rPr>
                <w:rFonts w:ascii="Times New Roman" w:hAnsi="Times New Roman"/>
                <w:sz w:val="18"/>
              </w:rPr>
              <w:t>Permitido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REG-009</w:t>
            </w:r>
          </w:p>
        </w:tc>
        <w:tc>
          <w:tcPr>
            <w:tcW w:type="dxa" w:w="1560"/>
          </w:tcPr>
          <w:p>
            <w:pPr>
              <w:spacing w:line="240" w:lineRule="auto"/>
            </w:pPr>
            <w:r>
              <w:rPr>
                <w:rFonts w:ascii="Times New Roman" w:hAnsi="Times New Roman"/>
                <w:sz w:val="18"/>
              </w:rPr>
              <w:t>R01</w:t>
            </w:r>
          </w:p>
        </w:tc>
        <w:tc>
          <w:tcPr>
            <w:tcW w:type="dxa" w:w="1560"/>
          </w:tcPr>
          <w:p>
            <w:pPr>
              <w:spacing w:line="240" w:lineRule="auto"/>
            </w:pPr>
            <w:r>
              <w:rPr>
                <w:rFonts w:ascii="Times New Roman" w:hAnsi="Times New Roman"/>
                <w:sz w:val="18"/>
              </w:rPr>
              <w:t>P02 Consultar directorio</w:t>
            </w:r>
          </w:p>
        </w:tc>
        <w:tc>
          <w:tcPr>
            <w:tcW w:type="dxa" w:w="1560"/>
          </w:tcPr>
          <w:p>
            <w:pPr>
              <w:spacing w:line="240" w:lineRule="auto"/>
            </w:pPr>
            <w:r>
              <w:rPr>
                <w:rFonts w:ascii="Times New Roman" w:hAnsi="Times New Roman"/>
                <w:sz w:val="18"/>
              </w:rPr>
              <w:t>AD01</w:t>
            </w:r>
          </w:p>
        </w:tc>
        <w:tc>
          <w:tcPr>
            <w:tcW w:type="dxa" w:w="1560"/>
          </w:tcPr>
          <w:p>
            <w:pPr>
              <w:spacing w:line="240" w:lineRule="auto"/>
            </w:pPr>
            <w:r>
              <w:rPr>
                <w:rFonts w:ascii="Times New Roman" w:hAnsi="Times New Roman"/>
                <w:sz w:val="18"/>
              </w:rPr>
              <w:t>Permitido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REG-077</w:t>
            </w:r>
          </w:p>
        </w:tc>
        <w:tc>
          <w:tcPr>
            <w:tcW w:type="dxa" w:w="1560"/>
          </w:tcPr>
          <w:p>
            <w:pPr>
              <w:spacing w:line="240" w:lineRule="auto"/>
            </w:pPr>
            <w:r>
              <w:rPr>
                <w:rFonts w:ascii="Times New Roman" w:hAnsi="Times New Roman"/>
                <w:sz w:val="18"/>
              </w:rPr>
              <w:t>R08</w:t>
            </w:r>
          </w:p>
        </w:tc>
        <w:tc>
          <w:tcPr>
            <w:tcW w:type="dxa" w:w="1560"/>
          </w:tcPr>
          <w:p>
            <w:pPr>
              <w:spacing w:line="240" w:lineRule="auto"/>
            </w:pPr>
            <w:r>
              <w:rPr>
                <w:rFonts w:ascii="Times New Roman" w:hAnsi="Times New Roman"/>
                <w:sz w:val="18"/>
              </w:rPr>
              <w:t>P30 Gestionar variables</w:t>
            </w:r>
          </w:p>
        </w:tc>
        <w:tc>
          <w:tcPr>
            <w:tcW w:type="dxa" w:w="1560"/>
          </w:tcPr>
          <w:p>
            <w:pPr>
              <w:spacing w:line="240" w:lineRule="auto"/>
            </w:pPr>
            <w:r>
              <w:rPr>
                <w:rFonts w:ascii="Times New Roman" w:hAnsi="Times New Roman"/>
                <w:sz w:val="18"/>
              </w:rPr>
              <w:t>MGMT01</w:t>
            </w:r>
          </w:p>
        </w:tc>
        <w:tc>
          <w:tcPr>
            <w:tcW w:type="dxa" w:w="1560"/>
          </w:tcPr>
          <w:p>
            <w:pPr>
              <w:spacing w:line="240" w:lineRule="auto"/>
            </w:pPr>
            <w:r>
              <w:rPr>
                <w:rFonts w:ascii="Times New Roman" w:hAnsi="Times New Roman"/>
                <w:sz w:val="18"/>
              </w:rPr>
              <w:t>Denegado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REG-080</w:t>
            </w:r>
          </w:p>
        </w:tc>
        <w:tc>
          <w:tcPr>
            <w:tcW w:type="dxa" w:w="1560"/>
          </w:tcPr>
          <w:p>
            <w:pPr>
              <w:spacing w:line="240" w:lineRule="auto"/>
            </w:pPr>
            <w:r>
              <w:rPr>
                <w:rFonts w:ascii="Times New Roman" w:hAnsi="Times New Roman"/>
                <w:sz w:val="18"/>
              </w:rPr>
              <w:t>R01</w:t>
            </w:r>
          </w:p>
        </w:tc>
        <w:tc>
          <w:tcPr>
            <w:tcW w:type="dxa" w:w="1560"/>
          </w:tcPr>
          <w:p>
            <w:pPr>
              <w:spacing w:line="240" w:lineRule="auto"/>
            </w:pPr>
            <w:r>
              <w:rPr>
                <w:rFonts w:ascii="Times New Roman" w:hAnsi="Times New Roman"/>
                <w:sz w:val="18"/>
              </w:rPr>
              <w:t>P32 Consultar auditoría</w:t>
            </w:r>
          </w:p>
        </w:tc>
        <w:tc>
          <w:tcPr>
            <w:tcW w:type="dxa" w:w="1560"/>
          </w:tcPr>
          <w:p>
            <w:pPr>
              <w:spacing w:line="240" w:lineRule="auto"/>
            </w:pPr>
            <w:r>
              <w:rPr>
                <w:rFonts w:ascii="Times New Roman" w:hAnsi="Times New Roman"/>
                <w:sz w:val="18"/>
              </w:rPr>
              <w:t>MGMT01</w:t>
            </w:r>
          </w:p>
        </w:tc>
        <w:tc>
          <w:tcPr>
            <w:tcW w:type="dxa" w:w="1560"/>
          </w:tcPr>
          <w:p>
            <w:pPr>
              <w:spacing w:line="240" w:lineRule="auto"/>
            </w:pPr>
            <w:r>
              <w:rPr>
                <w:rFonts w:ascii="Times New Roman" w:hAnsi="Times New Roman"/>
                <w:sz w:val="18"/>
              </w:rPr>
              <w:t>Permitido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REG-081</w:t>
            </w:r>
          </w:p>
        </w:tc>
        <w:tc>
          <w:tcPr>
            <w:tcW w:type="dxa" w:w="1560"/>
          </w:tcPr>
          <w:p>
            <w:pPr>
              <w:spacing w:line="240" w:lineRule="auto"/>
            </w:pPr>
            <w:r>
              <w:rPr>
                <w:rFonts w:ascii="Times New Roman" w:hAnsi="Times New Roman"/>
                <w:sz w:val="18"/>
              </w:rPr>
              <w:t>R08</w:t>
            </w:r>
          </w:p>
        </w:tc>
        <w:tc>
          <w:tcPr>
            <w:tcW w:type="dxa" w:w="1560"/>
          </w:tcPr>
          <w:p>
            <w:pPr>
              <w:spacing w:line="240" w:lineRule="auto"/>
            </w:pPr>
            <w:r>
              <w:rPr>
                <w:rFonts w:ascii="Times New Roman" w:hAnsi="Times New Roman"/>
                <w:sz w:val="18"/>
              </w:rPr>
              <w:t>P32 Consultar auditoría</w:t>
            </w:r>
          </w:p>
        </w:tc>
        <w:tc>
          <w:tcPr>
            <w:tcW w:type="dxa" w:w="1560"/>
          </w:tcPr>
          <w:p>
            <w:pPr>
              <w:spacing w:line="240" w:lineRule="auto"/>
            </w:pPr>
            <w:r>
              <w:rPr>
                <w:rFonts w:ascii="Times New Roman" w:hAnsi="Times New Roman"/>
                <w:sz w:val="18"/>
              </w:rPr>
              <w:t>MGMT01</w:t>
            </w:r>
          </w:p>
        </w:tc>
        <w:tc>
          <w:tcPr>
            <w:tcW w:type="dxa" w:w="1560"/>
          </w:tcPr>
          <w:p>
            <w:pPr>
              <w:spacing w:line="240" w:lineRule="auto"/>
            </w:pPr>
            <w:r>
              <w:rPr>
                <w:rFonts w:ascii="Times New Roman" w:hAnsi="Times New Roman"/>
                <w:sz w:val="18"/>
              </w:rPr>
              <w:t>Denegado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REG-097</w:t>
            </w:r>
          </w:p>
        </w:tc>
        <w:tc>
          <w:tcPr>
            <w:tcW w:type="dxa" w:w="1560"/>
          </w:tcPr>
          <w:p>
            <w:pPr>
              <w:spacing w:line="240" w:lineRule="auto"/>
            </w:pPr>
            <w:r>
              <w:rPr>
                <w:rFonts w:ascii="Times New Roman" w:hAnsi="Times New Roman"/>
                <w:sz w:val="18"/>
              </w:rPr>
              <w:t>R01</w:t>
            </w:r>
          </w:p>
        </w:tc>
        <w:tc>
          <w:tcPr>
            <w:tcW w:type="dxa" w:w="1560"/>
          </w:tcPr>
          <w:p>
            <w:pPr>
              <w:spacing w:line="240" w:lineRule="auto"/>
            </w:pPr>
            <w:r>
              <w:rPr>
                <w:rFonts w:ascii="Times New Roman" w:hAnsi="Times New Roman"/>
                <w:sz w:val="18"/>
              </w:rPr>
              <w:t>P40 Eliminar recursos</w:t>
            </w:r>
          </w:p>
        </w:tc>
        <w:tc>
          <w:tcPr>
            <w:tcW w:type="dxa" w:w="1560"/>
          </w:tcPr>
          <w:p>
            <w:pPr>
              <w:spacing w:line="240" w:lineRule="auto"/>
            </w:pPr>
            <w:r>
              <w:rPr>
                <w:rFonts w:ascii="Times New Roman" w:hAnsi="Times New Roman"/>
                <w:sz w:val="18"/>
              </w:rPr>
              <w:t>MGMT01</w:t>
            </w:r>
          </w:p>
        </w:tc>
        <w:tc>
          <w:tcPr>
            <w:tcW w:type="dxa" w:w="1560"/>
          </w:tcPr>
          <w:p>
            <w:pPr>
              <w:spacing w:line="240" w:lineRule="auto"/>
            </w:pPr>
            <w:r>
              <w:rPr>
                <w:rFonts w:ascii="Times New Roman" w:hAnsi="Times New Roman"/>
                <w:sz w:val="18"/>
              </w:rPr>
              <w:t>Permitido</w:t>
            </w:r>
          </w:p>
        </w:tc>
        <w:tc>
          <w:tcPr>
            <w:tcW w:type="dxa" w:w="1560"/>
          </w:tcPr>
          <w:p>
            <w:pPr>
              <w:spacing w:line="240" w:lineRule="auto"/>
            </w:pPr>
            <w:r>
              <w:rPr>
                <w:rFonts w:ascii="Times New Roman" w:hAnsi="Times New Roman"/>
                <w:sz w:val="18"/>
              </w:rPr>
              <w:t>Pendiente</w:t>
            </w:r>
          </w:p>
        </w:tc>
      </w:tr>
      <w:tr>
        <w:tc>
          <w:tcPr>
            <w:tcW w:type="dxa" w:w="1560"/>
          </w:tcPr>
          <w:p>
            <w:pPr>
              <w:spacing w:line="240" w:lineRule="auto"/>
            </w:pPr>
            <w:r>
              <w:rPr>
                <w:rFonts w:ascii="Times New Roman" w:hAnsi="Times New Roman"/>
                <w:sz w:val="18"/>
              </w:rPr>
              <w:t>REG-098</w:t>
            </w:r>
          </w:p>
        </w:tc>
        <w:tc>
          <w:tcPr>
            <w:tcW w:type="dxa" w:w="1560"/>
          </w:tcPr>
          <w:p>
            <w:pPr>
              <w:spacing w:line="240" w:lineRule="auto"/>
            </w:pPr>
            <w:r>
              <w:rPr>
                <w:rFonts w:ascii="Times New Roman" w:hAnsi="Times New Roman"/>
                <w:sz w:val="18"/>
              </w:rPr>
              <w:t>R08</w:t>
            </w:r>
          </w:p>
        </w:tc>
        <w:tc>
          <w:tcPr>
            <w:tcW w:type="dxa" w:w="1560"/>
          </w:tcPr>
          <w:p>
            <w:pPr>
              <w:spacing w:line="240" w:lineRule="auto"/>
            </w:pPr>
            <w:r>
              <w:rPr>
                <w:rFonts w:ascii="Times New Roman" w:hAnsi="Times New Roman"/>
                <w:sz w:val="18"/>
              </w:rPr>
              <w:t>P40 Eliminar recursos</w:t>
            </w:r>
          </w:p>
        </w:tc>
        <w:tc>
          <w:tcPr>
            <w:tcW w:type="dxa" w:w="1560"/>
          </w:tcPr>
          <w:p>
            <w:pPr>
              <w:spacing w:line="240" w:lineRule="auto"/>
            </w:pPr>
            <w:r>
              <w:rPr>
                <w:rFonts w:ascii="Times New Roman" w:hAnsi="Times New Roman"/>
                <w:sz w:val="18"/>
              </w:rPr>
              <w:t>MGMT01</w:t>
            </w:r>
          </w:p>
        </w:tc>
        <w:tc>
          <w:tcPr>
            <w:tcW w:type="dxa" w:w="1560"/>
          </w:tcPr>
          <w:p>
            <w:pPr>
              <w:spacing w:line="240" w:lineRule="auto"/>
            </w:pPr>
            <w:r>
              <w:rPr>
                <w:rFonts w:ascii="Times New Roman" w:hAnsi="Times New Roman"/>
                <w:sz w:val="18"/>
              </w:rPr>
              <w:t>Denegado</w:t>
            </w:r>
          </w:p>
        </w:tc>
        <w:tc>
          <w:tcPr>
            <w:tcW w:type="dxa" w:w="1560"/>
          </w:tcPr>
          <w:p>
            <w:pPr>
              <w:spacing w:line="240" w:lineRule="auto"/>
            </w:pPr>
            <w:r>
              <w:rPr>
                <w:rFonts w:ascii="Times New Roman" w:hAnsi="Times New Roman"/>
                <w:sz w:val="18"/>
              </w:rPr>
              <w:t>Pendiente</w:t>
            </w:r>
          </w:p>
        </w:tc>
      </w:tr>
    </w:tbl>
    <w:p>
      <w:r>
        <w:t>Fuente: Matriz_RBAC_IAM-17-10-2026.xlsx. La matriz fuente contiene 98 reglas. Las columnas Resultado observado, Evidencia y Cumple permanecen pendientes, de modo que no puede inferirse una tasa de autorización correcta.</w:t>
      </w:r>
    </w:p>
    <w:p>
      <w:pPr>
        <w:pStyle w:val="Heading2"/>
      </w:pPr>
      <w:r>
        <w:t>Anexo C. Distribución de las cuarenta identidades de ensayo</w:t>
      </w:r>
    </w:p>
    <w:tbl>
      <w:tblPr>
        <w:tblStyle w:val="TableGrid"/>
        <w:tblW w:type="auto" w:w="0"/>
        <w:jc w:val="center"/>
        <w:tblLook w:firstColumn="1" w:firstRow="1" w:lastColumn="0" w:lastRow="0" w:noHBand="0" w:noVBand="1" w:val="04A0"/>
      </w:tblPr>
      <w:tblGrid>
        <w:gridCol w:w="4680"/>
        <w:gridCol w:w="4680"/>
      </w:tblGrid>
      <w:tr>
        <w:tc>
          <w:tcPr>
            <w:tcW w:type="dxa" w:w="4680"/>
          </w:tcPr>
          <w:p>
            <w:pPr>
              <w:spacing w:line="240" w:lineRule="auto"/>
            </w:pPr>
            <w:r>
              <w:rPr>
                <w:rFonts w:ascii="Times New Roman" w:hAnsi="Times New Roman"/>
                <w:sz w:val="18"/>
              </w:rPr>
              <w:t>Rol</w:t>
            </w:r>
          </w:p>
        </w:tc>
        <w:tc>
          <w:tcPr>
            <w:tcW w:type="dxa" w:w="4680"/>
          </w:tcPr>
          <w:p>
            <w:pPr>
              <w:spacing w:line="240" w:lineRule="auto"/>
            </w:pPr>
            <w:r>
              <w:rPr>
                <w:rFonts w:ascii="Times New Roman" w:hAnsi="Times New Roman"/>
                <w:sz w:val="18"/>
              </w:rPr>
              <w:t>Identidades previstas</w:t>
            </w:r>
          </w:p>
        </w:tc>
      </w:tr>
      <w:tr>
        <w:tc>
          <w:tcPr>
            <w:tcW w:type="dxa" w:w="4680"/>
          </w:tcPr>
          <w:p>
            <w:pPr>
              <w:spacing w:line="240" w:lineRule="auto"/>
            </w:pPr>
            <w:r>
              <w:rPr>
                <w:rFonts w:ascii="Times New Roman" w:hAnsi="Times New Roman"/>
                <w:sz w:val="18"/>
              </w:rPr>
              <w:t>Administrador de soporte</w:t>
            </w:r>
          </w:p>
        </w:tc>
        <w:tc>
          <w:tcPr>
            <w:tcW w:type="dxa" w:w="4680"/>
          </w:tcPr>
          <w:p>
            <w:pPr>
              <w:spacing w:line="240" w:lineRule="auto"/>
            </w:pPr>
            <w:r>
              <w:rPr>
                <w:rFonts w:ascii="Times New Roman" w:hAnsi="Times New Roman"/>
                <w:sz w:val="18"/>
              </w:rPr>
              <w:t>4</w:t>
            </w:r>
          </w:p>
        </w:tc>
      </w:tr>
      <w:tr>
        <w:tc>
          <w:tcPr>
            <w:tcW w:type="dxa" w:w="4680"/>
          </w:tcPr>
          <w:p>
            <w:pPr>
              <w:spacing w:line="240" w:lineRule="auto"/>
            </w:pPr>
            <w:r>
              <w:rPr>
                <w:rFonts w:ascii="Times New Roman" w:hAnsi="Times New Roman"/>
                <w:sz w:val="18"/>
              </w:rPr>
              <w:t>Administrador de infraestructura</w:t>
            </w:r>
          </w:p>
        </w:tc>
        <w:tc>
          <w:tcPr>
            <w:tcW w:type="dxa" w:w="4680"/>
          </w:tcPr>
          <w:p>
            <w:pPr>
              <w:spacing w:line="240" w:lineRule="auto"/>
            </w:pPr>
            <w:r>
              <w:rPr>
                <w:rFonts w:ascii="Times New Roman" w:hAnsi="Times New Roman"/>
                <w:sz w:val="18"/>
              </w:rPr>
              <w:t>2</w:t>
            </w:r>
          </w:p>
        </w:tc>
      </w:tr>
      <w:tr>
        <w:tc>
          <w:tcPr>
            <w:tcW w:type="dxa" w:w="4680"/>
          </w:tcPr>
          <w:p>
            <w:pPr>
              <w:spacing w:line="240" w:lineRule="auto"/>
            </w:pPr>
            <w:r>
              <w:rPr>
                <w:rFonts w:ascii="Times New Roman" w:hAnsi="Times New Roman"/>
                <w:sz w:val="18"/>
              </w:rPr>
              <w:t>Administrador Web</w:t>
            </w:r>
          </w:p>
        </w:tc>
        <w:tc>
          <w:tcPr>
            <w:tcW w:type="dxa" w:w="4680"/>
          </w:tcPr>
          <w:p>
            <w:pPr>
              <w:spacing w:line="240" w:lineRule="auto"/>
            </w:pPr>
            <w:r>
              <w:rPr>
                <w:rFonts w:ascii="Times New Roman" w:hAnsi="Times New Roman"/>
                <w:sz w:val="18"/>
              </w:rPr>
              <w:t>3</w:t>
            </w:r>
          </w:p>
        </w:tc>
      </w:tr>
      <w:tr>
        <w:tc>
          <w:tcPr>
            <w:tcW w:type="dxa" w:w="4680"/>
          </w:tcPr>
          <w:p>
            <w:pPr>
              <w:spacing w:line="240" w:lineRule="auto"/>
            </w:pPr>
            <w:r>
              <w:rPr>
                <w:rFonts w:ascii="Times New Roman" w:hAnsi="Times New Roman"/>
                <w:sz w:val="18"/>
              </w:rPr>
              <w:t>Administrador Moodle</w:t>
            </w:r>
          </w:p>
        </w:tc>
        <w:tc>
          <w:tcPr>
            <w:tcW w:type="dxa" w:w="4680"/>
          </w:tcPr>
          <w:p>
            <w:pPr>
              <w:spacing w:line="240" w:lineRule="auto"/>
            </w:pPr>
            <w:r>
              <w:rPr>
                <w:rFonts w:ascii="Times New Roman" w:hAnsi="Times New Roman"/>
                <w:sz w:val="18"/>
              </w:rPr>
              <w:t>3</w:t>
            </w:r>
          </w:p>
        </w:tc>
      </w:tr>
      <w:tr>
        <w:tc>
          <w:tcPr>
            <w:tcW w:type="dxa" w:w="4680"/>
          </w:tcPr>
          <w:p>
            <w:pPr>
              <w:spacing w:line="240" w:lineRule="auto"/>
            </w:pPr>
            <w:r>
              <w:rPr>
                <w:rFonts w:ascii="Times New Roman" w:hAnsi="Times New Roman"/>
                <w:sz w:val="18"/>
              </w:rPr>
              <w:t>Docente</w:t>
            </w:r>
          </w:p>
        </w:tc>
        <w:tc>
          <w:tcPr>
            <w:tcW w:type="dxa" w:w="4680"/>
          </w:tcPr>
          <w:p>
            <w:pPr>
              <w:spacing w:line="240" w:lineRule="auto"/>
            </w:pPr>
            <w:r>
              <w:rPr>
                <w:rFonts w:ascii="Times New Roman" w:hAnsi="Times New Roman"/>
                <w:sz w:val="18"/>
              </w:rPr>
              <w:t>10</w:t>
            </w:r>
          </w:p>
        </w:tc>
      </w:tr>
      <w:tr>
        <w:tc>
          <w:tcPr>
            <w:tcW w:type="dxa" w:w="4680"/>
          </w:tcPr>
          <w:p>
            <w:pPr>
              <w:spacing w:line="240" w:lineRule="auto"/>
            </w:pPr>
            <w:r>
              <w:rPr>
                <w:rFonts w:ascii="Times New Roman" w:hAnsi="Times New Roman"/>
                <w:sz w:val="18"/>
              </w:rPr>
              <w:t>Estudiante</w:t>
            </w:r>
          </w:p>
        </w:tc>
        <w:tc>
          <w:tcPr>
            <w:tcW w:type="dxa" w:w="4680"/>
          </w:tcPr>
          <w:p>
            <w:pPr>
              <w:spacing w:line="240" w:lineRule="auto"/>
            </w:pPr>
            <w:r>
              <w:rPr>
                <w:rFonts w:ascii="Times New Roman" w:hAnsi="Times New Roman"/>
                <w:sz w:val="18"/>
              </w:rPr>
              <w:t>13</w:t>
            </w:r>
          </w:p>
        </w:tc>
      </w:tr>
      <w:tr>
        <w:tc>
          <w:tcPr>
            <w:tcW w:type="dxa" w:w="4680"/>
          </w:tcPr>
          <w:p>
            <w:pPr>
              <w:spacing w:line="240" w:lineRule="auto"/>
            </w:pPr>
            <w:r>
              <w:rPr>
                <w:rFonts w:ascii="Times New Roman" w:hAnsi="Times New Roman"/>
                <w:sz w:val="18"/>
              </w:rPr>
              <w:t>Administrador Ansible</w:t>
            </w:r>
          </w:p>
        </w:tc>
        <w:tc>
          <w:tcPr>
            <w:tcW w:type="dxa" w:w="4680"/>
          </w:tcPr>
          <w:p>
            <w:pPr>
              <w:spacing w:line="240" w:lineRule="auto"/>
            </w:pPr>
            <w:r>
              <w:rPr>
                <w:rFonts w:ascii="Times New Roman" w:hAnsi="Times New Roman"/>
                <w:sz w:val="18"/>
              </w:rPr>
              <w:t>2</w:t>
            </w:r>
          </w:p>
        </w:tc>
      </w:tr>
      <w:tr>
        <w:tc>
          <w:tcPr>
            <w:tcW w:type="dxa" w:w="4680"/>
          </w:tcPr>
          <w:p>
            <w:pPr>
              <w:spacing w:line="240" w:lineRule="auto"/>
            </w:pPr>
            <w:r>
              <w:rPr>
                <w:rFonts w:ascii="Times New Roman" w:hAnsi="Times New Roman"/>
                <w:sz w:val="18"/>
              </w:rPr>
              <w:t>Administrador BD</w:t>
            </w:r>
          </w:p>
        </w:tc>
        <w:tc>
          <w:tcPr>
            <w:tcW w:type="dxa" w:w="4680"/>
          </w:tcPr>
          <w:p>
            <w:pPr>
              <w:spacing w:line="240" w:lineRule="auto"/>
            </w:pPr>
            <w:r>
              <w:rPr>
                <w:rFonts w:ascii="Times New Roman" w:hAnsi="Times New Roman"/>
                <w:sz w:val="18"/>
              </w:rPr>
              <w:t>3</w:t>
            </w:r>
          </w:p>
        </w:tc>
      </w:tr>
      <w:tr>
        <w:tc>
          <w:tcPr>
            <w:tcW w:type="dxa" w:w="4680"/>
          </w:tcPr>
          <w:p>
            <w:pPr>
              <w:spacing w:line="240" w:lineRule="auto"/>
            </w:pPr>
            <w:r>
              <w:rPr>
                <w:rFonts w:ascii="Times New Roman" w:hAnsi="Times New Roman"/>
                <w:sz w:val="18"/>
              </w:rPr>
              <w:t>Total</w:t>
            </w:r>
          </w:p>
        </w:tc>
        <w:tc>
          <w:tcPr>
            <w:tcW w:type="dxa" w:w="4680"/>
          </w:tcPr>
          <w:p>
            <w:pPr>
              <w:spacing w:line="240" w:lineRule="auto"/>
            </w:pPr>
            <w:r>
              <w:rPr>
                <w:rFonts w:ascii="Times New Roman" w:hAnsi="Times New Roman"/>
                <w:sz w:val="18"/>
              </w:rPr>
              <w:t>40</w:t>
            </w:r>
          </w:p>
        </w:tc>
      </w:tr>
    </w:tbl>
    <w:p>
      <w:r>
        <w:t>Fuente: Objetos de directorio parte2.xlsx, apartado de pruebas. Es una selección intencional para cobertura funcional y representa el 2 % del universo sintético previsto; no sustenta inferencias probabilísticas.</w:t>
      </w:r>
    </w:p>
    <w:p>
      <w:pPr>
        <w:pStyle w:val="Heading2"/>
      </w:pPr>
      <w:r>
        <w:t>Anexo D. Documentación gráfica existente: acceso y trazabilidad</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Archivo existente</w:t>
            </w:r>
          </w:p>
        </w:tc>
        <w:tc>
          <w:tcPr>
            <w:tcW w:type="dxa" w:w="3120"/>
          </w:tcPr>
          <w:p>
            <w:pPr>
              <w:spacing w:line="240" w:lineRule="auto"/>
            </w:pPr>
            <w:r>
              <w:rPr>
                <w:rFonts w:ascii="Times New Roman" w:hAnsi="Times New Roman"/>
                <w:sz w:val="18"/>
              </w:rPr>
              <w:t>Objeto documentado</w:t>
            </w:r>
          </w:p>
        </w:tc>
        <w:tc>
          <w:tcPr>
            <w:tcW w:type="dxa" w:w="3120"/>
          </w:tcPr>
          <w:p>
            <w:pPr>
              <w:spacing w:line="240" w:lineRule="auto"/>
            </w:pPr>
            <w:r>
              <w:rPr>
                <w:rFonts w:ascii="Times New Roman" w:hAnsi="Times New Roman"/>
                <w:sz w:val="18"/>
              </w:rPr>
              <w:t>Enlace fuente</w:t>
            </w:r>
          </w:p>
        </w:tc>
      </w:tr>
      <w:tr>
        <w:tc>
          <w:tcPr>
            <w:tcW w:type="dxa" w:w="3120"/>
          </w:tcPr>
          <w:p>
            <w:pPr>
              <w:spacing w:line="240" w:lineRule="auto"/>
            </w:pPr>
            <w:r>
              <w:rPr>
                <w:rFonts w:ascii="Times New Roman" w:hAnsi="Times New Roman"/>
                <w:sz w:val="18"/>
              </w:rPr>
              <w:t>proxmox.png</w:t>
            </w:r>
          </w:p>
        </w:tc>
        <w:tc>
          <w:tcPr>
            <w:tcW w:type="dxa" w:w="3120"/>
          </w:tcPr>
          <w:p>
            <w:pPr>
              <w:spacing w:line="240" w:lineRule="auto"/>
            </w:pPr>
            <w:r>
              <w:rPr>
                <w:rFonts w:ascii="Times New Roman" w:hAnsi="Times New Roman"/>
                <w:sz w:val="18"/>
              </w:rPr>
              <w:t>Diseño Proxmox</w:t>
            </w:r>
          </w:p>
        </w:tc>
        <w:tc>
          <w:tcPr>
            <w:tcW w:type="dxa" w:w="3120"/>
          </w:tcPr>
          <w:p>
            <w:pPr>
              <w:spacing w:line="240" w:lineRule="auto"/>
            </w:pPr>
            <w:r>
              <w:rPr>
                <w:rFonts w:ascii="Times New Roman" w:hAnsi="Times New Roman"/>
                <w:sz w:val="18"/>
              </w:rPr>
              <w:t>https://drive.google.com/file/d/1P3Y9eS4vsF04jFp9L7pbX9XF-GrsXH2C/view</w:t>
            </w:r>
          </w:p>
        </w:tc>
      </w:tr>
      <w:tr>
        <w:tc>
          <w:tcPr>
            <w:tcW w:type="dxa" w:w="3120"/>
          </w:tcPr>
          <w:p>
            <w:pPr>
              <w:spacing w:line="240" w:lineRule="auto"/>
            </w:pPr>
            <w:r>
              <w:rPr>
                <w:rFonts w:ascii="Times New Roman" w:hAnsi="Times New Roman"/>
                <w:sz w:val="18"/>
              </w:rPr>
              <w:t>ESXI_Diseño.png</w:t>
            </w:r>
          </w:p>
        </w:tc>
        <w:tc>
          <w:tcPr>
            <w:tcW w:type="dxa" w:w="3120"/>
          </w:tcPr>
          <w:p>
            <w:pPr>
              <w:spacing w:line="240" w:lineRule="auto"/>
            </w:pPr>
            <w:r>
              <w:rPr>
                <w:rFonts w:ascii="Times New Roman" w:hAnsi="Times New Roman"/>
                <w:sz w:val="18"/>
              </w:rPr>
              <w:t>Diseño VMware ESXi</w:t>
            </w:r>
          </w:p>
        </w:tc>
        <w:tc>
          <w:tcPr>
            <w:tcW w:type="dxa" w:w="3120"/>
          </w:tcPr>
          <w:p>
            <w:pPr>
              <w:spacing w:line="240" w:lineRule="auto"/>
            </w:pPr>
            <w:r>
              <w:rPr>
                <w:rFonts w:ascii="Times New Roman" w:hAnsi="Times New Roman"/>
                <w:sz w:val="18"/>
              </w:rPr>
              <w:t>https://drive.google.com/file/d/1W4DYE5hXX2ZfJRQAXhP76U5shhbECpuX/view</w:t>
            </w:r>
          </w:p>
        </w:tc>
      </w:tr>
      <w:tr>
        <w:tc>
          <w:tcPr>
            <w:tcW w:type="dxa" w:w="3120"/>
          </w:tcPr>
          <w:p>
            <w:pPr>
              <w:spacing w:line="240" w:lineRule="auto"/>
            </w:pPr>
            <w:r>
              <w:rPr>
                <w:rFonts w:ascii="Times New Roman" w:hAnsi="Times New Roman"/>
                <w:sz w:val="18"/>
              </w:rPr>
              <w:t>Usuarios _lab_universidad.png</w:t>
            </w:r>
          </w:p>
        </w:tc>
        <w:tc>
          <w:tcPr>
            <w:tcW w:type="dxa" w:w="3120"/>
          </w:tcPr>
          <w:p>
            <w:pPr>
              <w:spacing w:line="240" w:lineRule="auto"/>
            </w:pPr>
            <w:r>
              <w:rPr>
                <w:rFonts w:ascii="Times New Roman" w:hAnsi="Times New Roman"/>
                <w:sz w:val="18"/>
              </w:rPr>
              <w:t>Usuarios y laboratorios</w:t>
            </w:r>
          </w:p>
        </w:tc>
        <w:tc>
          <w:tcPr>
            <w:tcW w:type="dxa" w:w="3120"/>
          </w:tcPr>
          <w:p>
            <w:pPr>
              <w:spacing w:line="240" w:lineRule="auto"/>
            </w:pPr>
            <w:r>
              <w:rPr>
                <w:rFonts w:ascii="Times New Roman" w:hAnsi="Times New Roman"/>
                <w:sz w:val="18"/>
              </w:rPr>
              <w:t>https://drive.google.com/file/d/1lfpx5lSE5VbqiH76OdA8e52S6PDxaSEC/view</w:t>
            </w:r>
          </w:p>
        </w:tc>
      </w:tr>
      <w:tr>
        <w:tc>
          <w:tcPr>
            <w:tcW w:type="dxa" w:w="3120"/>
          </w:tcPr>
          <w:p>
            <w:pPr>
              <w:spacing w:line="240" w:lineRule="auto"/>
            </w:pPr>
            <w:r>
              <w:rPr>
                <w:rFonts w:ascii="Times New Roman" w:hAnsi="Times New Roman"/>
                <w:sz w:val="18"/>
              </w:rPr>
              <w:t>Conexion PC fisicas .png</w:t>
            </w:r>
          </w:p>
        </w:tc>
        <w:tc>
          <w:tcPr>
            <w:tcW w:type="dxa" w:w="3120"/>
          </w:tcPr>
          <w:p>
            <w:pPr>
              <w:spacing w:line="240" w:lineRule="auto"/>
            </w:pPr>
            <w:r>
              <w:rPr>
                <w:rFonts w:ascii="Times New Roman" w:hAnsi="Times New Roman"/>
                <w:sz w:val="18"/>
              </w:rPr>
              <w:t>Interconexión física prevista</w:t>
            </w:r>
          </w:p>
        </w:tc>
        <w:tc>
          <w:tcPr>
            <w:tcW w:type="dxa" w:w="3120"/>
          </w:tcPr>
          <w:p>
            <w:pPr>
              <w:spacing w:line="240" w:lineRule="auto"/>
            </w:pPr>
            <w:r>
              <w:rPr>
                <w:rFonts w:ascii="Times New Roman" w:hAnsi="Times New Roman"/>
                <w:sz w:val="18"/>
              </w:rPr>
              <w:t>https://drive.google.com/file/d/1F6-Ccadqp_Yj2PH6964QR3PtvlD3_Oqj/view</w:t>
            </w:r>
          </w:p>
        </w:tc>
      </w:tr>
    </w:tbl>
    <w:p>
      <w:r/>
      <w:r>
        <w:t>Las siguientes figuras se reservan para insertar manualmente los archivos originales del expediente. Debe comprobarse su contenido, fuente y correspondencia con la versión de la arquitectura antes de presentar el informe.</w:t>
      </w:r>
    </w:p>
    <w:p>
      <w:pPr>
        <w:keepLines/>
        <w:spacing w:before="200" w:after="200"/>
        <w:jc w:val="center"/>
      </w:pPr>
      <w:r>
        <w:rPr>
          <w:b w:val="0"/>
          <w:sz w:val="20"/>
        </w:rPr>
        <w:t>Figura D1. Diseño del hipervisor Proxmox VE</w:t>
        <w:br/>
        <w:t>[ESPACIO RESERVADO PARA INSERTAR LA IMAGEN ORIGINAL]</w:t>
        <w:br/>
        <w:t>Archivo en Drive: proxmox.png</w:t>
        <w:br/>
        <w:t>Nombre de imagen para el informe: JUDC_Fig_D1_Proxmox.png</w:t>
      </w:r>
    </w:p>
    <w:p>
      <w:pPr>
        <w:keepLines/>
        <w:spacing w:before="200" w:after="200"/>
        <w:jc w:val="center"/>
      </w:pPr>
      <w:r>
        <w:rPr>
          <w:b w:val="0"/>
          <w:sz w:val="20"/>
        </w:rPr>
        <w:t>Figura D2. Diseño de servicios en VMware ESXi</w:t>
        <w:br/>
        <w:t>[ESPACIO RESERVADO PARA INSERTAR LA IMAGEN ORIGINAL]</w:t>
        <w:br/>
        <w:t>Archivo en Drive: ESXI_Diseño.png</w:t>
        <w:br/>
        <w:t>Nombre de imagen para el informe: JUDC_Fig_D2_ESXi.png</w:t>
      </w:r>
    </w:p>
    <w:p>
      <w:pPr>
        <w:keepLines/>
        <w:spacing w:before="200" w:after="200"/>
        <w:jc w:val="center"/>
      </w:pPr>
      <w:r>
        <w:rPr>
          <w:b w:val="0"/>
          <w:sz w:val="20"/>
        </w:rPr>
        <w:t>Figura D3. Diseño de usuarios y laboratorios</w:t>
        <w:br/>
        <w:t>[ESPACIO RESERVADO PARA INSERTAR LA IMAGEN ORIGINAL]</w:t>
        <w:br/>
        <w:t>Archivo en Drive: Usuarios _lab_universidad.png</w:t>
        <w:br/>
        <w:t>Nombre de imagen para el informe: JUDC_Fig_D3_Usuarios_Laboratorio.png</w:t>
      </w:r>
    </w:p>
    <w:p>
      <w:pPr>
        <w:keepLines/>
        <w:spacing w:before="200" w:after="200"/>
        <w:jc w:val="center"/>
      </w:pPr>
      <w:r>
        <w:rPr>
          <w:b w:val="0"/>
          <w:sz w:val="20"/>
        </w:rPr>
        <w:t>Figura D4. Esquema de conexión de los equipos físicos</w:t>
        <w:br/>
        <w:t>[ESPACIO RESERVADO PARA INSERTAR LA IMAGEN ORIGINAL]</w:t>
        <w:br/>
        <w:t>Archivo en Drive: Conexion PC fisicas .png</w:t>
        <w:br/>
        <w:t>Nombre de imagen para el informe: JUDC_Fig_D4_Conexion_Fisica.png</w:t>
      </w:r>
    </w:p>
    <w:p>
      <w:pPr>
        <w:pStyle w:val="Heading2"/>
      </w:pPr>
      <w:r>
        <w:t>Anexo E. Fuentes documentales técnicas anexadas por referencia</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Archivo</w:t>
            </w:r>
          </w:p>
        </w:tc>
        <w:tc>
          <w:tcPr>
            <w:tcW w:type="dxa" w:w="3120"/>
          </w:tcPr>
          <w:p>
            <w:pPr>
              <w:spacing w:line="240" w:lineRule="auto"/>
            </w:pPr>
            <w:r>
              <w:rPr>
                <w:rFonts w:ascii="Times New Roman" w:hAnsi="Times New Roman"/>
                <w:sz w:val="18"/>
              </w:rPr>
              <w:t>Uso científico</w:t>
            </w:r>
          </w:p>
        </w:tc>
        <w:tc>
          <w:tcPr>
            <w:tcW w:type="dxa" w:w="3120"/>
          </w:tcPr>
          <w:p>
            <w:pPr>
              <w:spacing w:line="240" w:lineRule="auto"/>
            </w:pPr>
            <w:r>
              <w:rPr>
                <w:rFonts w:ascii="Times New Roman" w:hAnsi="Times New Roman"/>
                <w:sz w:val="18"/>
              </w:rPr>
              <w:t>Enlace</w:t>
            </w:r>
          </w:p>
        </w:tc>
      </w:tr>
      <w:tr>
        <w:tc>
          <w:tcPr>
            <w:tcW w:type="dxa" w:w="3120"/>
          </w:tcPr>
          <w:p>
            <w:pPr>
              <w:spacing w:line="240" w:lineRule="auto"/>
            </w:pPr>
            <w:r>
              <w:rPr>
                <w:rFonts w:ascii="Times New Roman" w:hAnsi="Times New Roman"/>
                <w:sz w:val="18"/>
              </w:rPr>
              <w:t>Objetos de directorio parte1.xlsx</w:t>
            </w:r>
          </w:p>
        </w:tc>
        <w:tc>
          <w:tcPr>
            <w:tcW w:type="dxa" w:w="3120"/>
          </w:tcPr>
          <w:p>
            <w:pPr>
              <w:spacing w:line="240" w:lineRule="auto"/>
            </w:pPr>
            <w:r>
              <w:rPr>
                <w:rFonts w:ascii="Times New Roman" w:hAnsi="Times New Roman"/>
                <w:sz w:val="18"/>
              </w:rPr>
              <w:t>Roles, grupos, permisos y políticas</w:t>
            </w:r>
          </w:p>
        </w:tc>
        <w:tc>
          <w:tcPr>
            <w:tcW w:type="dxa" w:w="3120"/>
          </w:tcPr>
          <w:p>
            <w:pPr>
              <w:spacing w:line="240" w:lineRule="auto"/>
            </w:pPr>
            <w:r>
              <w:rPr>
                <w:rFonts w:ascii="Times New Roman" w:hAnsi="Times New Roman"/>
                <w:sz w:val="18"/>
              </w:rPr>
              <w:t>https://drive.google.com/file/d/1j8xmCQe3TGfJstJji532GK5410_m2zHj/view</w:t>
            </w:r>
          </w:p>
        </w:tc>
      </w:tr>
      <w:tr>
        <w:tc>
          <w:tcPr>
            <w:tcW w:type="dxa" w:w="3120"/>
          </w:tcPr>
          <w:p>
            <w:pPr>
              <w:spacing w:line="240" w:lineRule="auto"/>
            </w:pPr>
            <w:r>
              <w:rPr>
                <w:rFonts w:ascii="Times New Roman" w:hAnsi="Times New Roman"/>
                <w:sz w:val="18"/>
              </w:rPr>
              <w:t>Objetos de directorio parte2.xlsx</w:t>
            </w:r>
          </w:p>
        </w:tc>
        <w:tc>
          <w:tcPr>
            <w:tcW w:type="dxa" w:w="3120"/>
          </w:tcPr>
          <w:p>
            <w:pPr>
              <w:spacing w:line="240" w:lineRule="auto"/>
            </w:pPr>
            <w:r>
              <w:rPr>
                <w:rFonts w:ascii="Times New Roman" w:hAnsi="Times New Roman"/>
                <w:sz w:val="18"/>
              </w:rPr>
              <w:t>Inventario sintético y selección de pruebas</w:t>
            </w:r>
          </w:p>
        </w:tc>
        <w:tc>
          <w:tcPr>
            <w:tcW w:type="dxa" w:w="3120"/>
          </w:tcPr>
          <w:p>
            <w:pPr>
              <w:spacing w:line="240" w:lineRule="auto"/>
            </w:pPr>
            <w:r>
              <w:rPr>
                <w:rFonts w:ascii="Times New Roman" w:hAnsi="Times New Roman"/>
                <w:sz w:val="18"/>
              </w:rPr>
              <w:t>https://drive.google.com/file/d/19bfv7XJ7I5Wy1fffw4LNOAkC2wf0C7yA/view</w:t>
            </w:r>
          </w:p>
        </w:tc>
      </w:tr>
      <w:tr>
        <w:tc>
          <w:tcPr>
            <w:tcW w:type="dxa" w:w="3120"/>
          </w:tcPr>
          <w:p>
            <w:pPr>
              <w:spacing w:line="240" w:lineRule="auto"/>
            </w:pPr>
            <w:r>
              <w:rPr>
                <w:rFonts w:ascii="Times New Roman" w:hAnsi="Times New Roman"/>
                <w:sz w:val="18"/>
              </w:rPr>
              <w:t>Matriz_RBAC_IAM-17-10-2026.xlsx</w:t>
            </w:r>
          </w:p>
        </w:tc>
        <w:tc>
          <w:tcPr>
            <w:tcW w:type="dxa" w:w="3120"/>
          </w:tcPr>
          <w:p>
            <w:pPr>
              <w:spacing w:line="240" w:lineRule="auto"/>
            </w:pPr>
            <w:r>
              <w:rPr>
                <w:rFonts w:ascii="Times New Roman" w:hAnsi="Times New Roman"/>
                <w:sz w:val="18"/>
              </w:rPr>
              <w:t>98 reglas de autorización</w:t>
            </w:r>
          </w:p>
        </w:tc>
        <w:tc>
          <w:tcPr>
            <w:tcW w:type="dxa" w:w="3120"/>
          </w:tcPr>
          <w:p>
            <w:pPr>
              <w:spacing w:line="240" w:lineRule="auto"/>
            </w:pPr>
            <w:r>
              <w:rPr>
                <w:rFonts w:ascii="Times New Roman" w:hAnsi="Times New Roman"/>
                <w:sz w:val="18"/>
              </w:rPr>
              <w:t>https://drive.google.com/file/d/1Nu4ehF43wAK_OGJbrX2qxURCMzoP7dP8/view</w:t>
            </w:r>
          </w:p>
        </w:tc>
      </w:tr>
      <w:tr>
        <w:tc>
          <w:tcPr>
            <w:tcW w:type="dxa" w:w="3120"/>
          </w:tcPr>
          <w:p>
            <w:pPr>
              <w:spacing w:line="240" w:lineRule="auto"/>
            </w:pPr>
            <w:r>
              <w:rPr>
                <w:rFonts w:ascii="Times New Roman" w:hAnsi="Times New Roman"/>
                <w:sz w:val="18"/>
              </w:rPr>
              <w:t>creacion prototipo_Proxmox.docx</w:t>
            </w:r>
          </w:p>
        </w:tc>
        <w:tc>
          <w:tcPr>
            <w:tcW w:type="dxa" w:w="3120"/>
          </w:tcPr>
          <w:p>
            <w:pPr>
              <w:spacing w:line="240" w:lineRule="auto"/>
            </w:pPr>
            <w:r>
              <w:rPr>
                <w:rFonts w:ascii="Times New Roman" w:hAnsi="Times New Roman"/>
                <w:sz w:val="18"/>
              </w:rPr>
              <w:t>Secuencia de implementación</w:t>
            </w:r>
          </w:p>
        </w:tc>
        <w:tc>
          <w:tcPr>
            <w:tcW w:type="dxa" w:w="3120"/>
          </w:tcPr>
          <w:p>
            <w:pPr>
              <w:spacing w:line="240" w:lineRule="auto"/>
            </w:pPr>
            <w:r>
              <w:rPr>
                <w:rFonts w:ascii="Times New Roman" w:hAnsi="Times New Roman"/>
                <w:sz w:val="18"/>
              </w:rPr>
              <w:t>https://drive.google.com/file/d/1eTbmTof9RwtbC-ngoPeFQyO3Cv5jn4Nv/view</w:t>
            </w:r>
          </w:p>
        </w:tc>
      </w:tr>
    </w:tbl>
    <w:p>
      <w:pPr>
        <w:pStyle w:val="Heading2"/>
      </w:pPr>
      <w:r>
        <w:t>Anexo F. Ficha de identificación y estado de antecedentes</w:t>
      </w:r>
    </w:p>
    <w:tbl>
      <w:tblPr>
        <w:tblStyle w:val="TableGrid"/>
        <w:tblW w:type="auto" w:w="0"/>
        <w:jc w:val="center"/>
        <w:tblLook w:firstColumn="1" w:firstRow="1" w:lastColumn="0" w:lastRow="0" w:noHBand="0" w:noVBand="1" w:val="04A0"/>
      </w:tblPr>
      <w:tblGrid>
        <w:gridCol w:w="3120"/>
        <w:gridCol w:w="3120"/>
        <w:gridCol w:w="3120"/>
      </w:tblGrid>
      <w:tr>
        <w:tc>
          <w:tcPr>
            <w:tcW w:type="dxa" w:w="3120"/>
          </w:tcPr>
          <w:p>
            <w:pPr>
              <w:spacing w:line="240" w:lineRule="auto"/>
            </w:pPr>
            <w:r>
              <w:rPr>
                <w:rFonts w:ascii="Times New Roman" w:hAnsi="Times New Roman"/>
                <w:sz w:val="18"/>
              </w:rPr>
              <w:t>Trabajo</w:t>
            </w:r>
          </w:p>
        </w:tc>
        <w:tc>
          <w:tcPr>
            <w:tcW w:type="dxa" w:w="3120"/>
          </w:tcPr>
          <w:p>
            <w:pPr>
              <w:spacing w:line="240" w:lineRule="auto"/>
            </w:pPr>
            <w:r>
              <w:rPr>
                <w:rFonts w:ascii="Times New Roman" w:hAnsi="Times New Roman"/>
                <w:sz w:val="18"/>
              </w:rPr>
              <w:t>Identidad bibliográfica</w:t>
            </w:r>
          </w:p>
        </w:tc>
        <w:tc>
          <w:tcPr>
            <w:tcW w:type="dxa" w:w="3120"/>
          </w:tcPr>
          <w:p>
            <w:pPr>
              <w:spacing w:line="240" w:lineRule="auto"/>
            </w:pPr>
            <w:r>
              <w:rPr>
                <w:rFonts w:ascii="Times New Roman" w:hAnsi="Times New Roman"/>
                <w:sz w:val="18"/>
              </w:rPr>
              <w:t>Valoración</w:t>
            </w:r>
          </w:p>
        </w:tc>
      </w:tr>
      <w:tr>
        <w:tc>
          <w:tcPr>
            <w:tcW w:type="dxa" w:w="3120"/>
          </w:tcPr>
          <w:p>
            <w:pPr>
              <w:spacing w:line="240" w:lineRule="auto"/>
            </w:pPr>
            <w:r>
              <w:rPr>
                <w:rFonts w:ascii="Times New Roman" w:hAnsi="Times New Roman"/>
                <w:sz w:val="18"/>
              </w:rPr>
              <w:t>Eirea, Lausarot y Mundin (2016)</w:t>
            </w:r>
          </w:p>
        </w:tc>
        <w:tc>
          <w:tcPr>
            <w:tcW w:type="dxa" w:w="3120"/>
          </w:tcPr>
          <w:p>
            <w:pPr>
              <w:spacing w:line="240" w:lineRule="auto"/>
            </w:pPr>
            <w:r>
              <w:rPr>
                <w:rFonts w:ascii="Times New Roman" w:hAnsi="Times New Roman"/>
                <w:sz w:val="18"/>
              </w:rPr>
              <w:t>Proyecto de grado, Facultad de Ingeniería, Universidad de la República (Uruguay)</w:t>
            </w:r>
          </w:p>
        </w:tc>
        <w:tc>
          <w:tcPr>
            <w:tcW w:type="dxa" w:w="3120"/>
          </w:tcPr>
          <w:p>
            <w:pPr>
              <w:spacing w:line="240" w:lineRule="auto"/>
            </w:pPr>
            <w:r>
              <w:rPr>
                <w:rFonts w:ascii="Times New Roman" w:hAnsi="Times New Roman"/>
                <w:sz w:val="18"/>
              </w:rPr>
              <w:t>Verificado: portada original y archivo institucional</w:t>
            </w:r>
          </w:p>
        </w:tc>
      </w:tr>
      <w:tr>
        <w:tc>
          <w:tcPr>
            <w:tcW w:type="dxa" w:w="3120"/>
          </w:tcPr>
          <w:p>
            <w:pPr>
              <w:spacing w:line="240" w:lineRule="auto"/>
            </w:pPr>
            <w:r>
              <w:rPr>
                <w:rFonts w:ascii="Times New Roman" w:hAnsi="Times New Roman"/>
                <w:sz w:val="18"/>
              </w:rPr>
              <w:t>García Matus y Montano López (2012)</w:t>
            </w:r>
          </w:p>
        </w:tc>
        <w:tc>
          <w:tcPr>
            <w:tcW w:type="dxa" w:w="3120"/>
          </w:tcPr>
          <w:p>
            <w:pPr>
              <w:spacing w:line="240" w:lineRule="auto"/>
            </w:pPr>
            <w:r>
              <w:rPr>
                <w:rFonts w:ascii="Times New Roman" w:hAnsi="Times New Roman"/>
                <w:sz w:val="18"/>
              </w:rPr>
              <w:t>Monografía, UNAN-Managua, repositorio institucional</w:t>
            </w:r>
          </w:p>
        </w:tc>
        <w:tc>
          <w:tcPr>
            <w:tcW w:type="dxa" w:w="3120"/>
          </w:tcPr>
          <w:p>
            <w:pPr>
              <w:spacing w:line="240" w:lineRule="auto"/>
            </w:pPr>
            <w:r>
              <w:rPr>
                <w:rFonts w:ascii="Times New Roman" w:hAnsi="Times New Roman"/>
                <w:sz w:val="18"/>
              </w:rPr>
              <w:t>Verificado: registro institucional y PDF original</w:t>
            </w:r>
          </w:p>
        </w:tc>
      </w:tr>
    </w:tbl>
    <w:sectPr w:rsidR="00FC693F" w:rsidRPr="0006063C" w:rsidSect="00034616">
      <w:headerReference w:type="default" r:id="rId9"/>
      <w:footerReference w:type="default" r:id="rId10"/>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XLIV Jornada Universitaria de Desarrollo Científico · UNAN-Managua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rPr>
      <w:t>XLIV JUDC 2026 · CIENCIA PARA EL DESARROLLO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C344B"/>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C34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C344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JUDC 2026 - Informe en proceso V05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